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津工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信软件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黑体" w:cs="Times New Roman"/>
          <w:sz w:val="32"/>
          <w:szCs w:val="32"/>
        </w:rPr>
        <w:t>201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2"/>
          <w:szCs w:val="32"/>
        </w:rPr>
        <w:t>号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kern w:val="36"/>
          <w:sz w:val="44"/>
          <w:szCs w:val="44"/>
        </w:rPr>
        <w:t>工业互联网</w:t>
      </w:r>
      <w:r>
        <w:rPr>
          <w:rFonts w:hint="default" w:ascii="Times New Roman" w:hAnsi="Times New Roman" w:eastAsia="方正小标宋简体" w:cs="Times New Roman"/>
          <w:b/>
          <w:kern w:val="36"/>
          <w:sz w:val="44"/>
          <w:szCs w:val="44"/>
        </w:rPr>
        <w:t>APP优</w:t>
      </w:r>
      <w:r>
        <w:rPr>
          <w:rFonts w:hint="eastAsia" w:ascii="方正小标宋简体" w:hAnsi="方正小标宋简体" w:eastAsia="方正小标宋简体" w:cs="方正小标宋简体"/>
          <w:b/>
          <w:kern w:val="36"/>
          <w:sz w:val="44"/>
          <w:szCs w:val="44"/>
        </w:rPr>
        <w:t>秀解决方案申报书</w:t>
      </w: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ind w:left="424" w:leftChars="202"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300" w:lineRule="auto"/>
        <w:ind w:firstLine="964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申报单位: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(盖章) </w:t>
      </w:r>
    </w:p>
    <w:p>
      <w:pPr>
        <w:spacing w:line="300" w:lineRule="auto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textWrapping"/>
      </w: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0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申报日期: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日</w:t>
      </w: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after="156" w:afterLines="50" w:line="440" w:lineRule="exact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仿宋" w:hAnsi="仿宋" w:eastAsia="仿宋"/>
          <w:sz w:val="24"/>
        </w:rPr>
        <w:br w:type="page"/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承诺申明</w:t>
      </w:r>
    </w:p>
    <w:p/>
    <w:p/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公章：</w:t>
      </w:r>
    </w:p>
    <w:p>
      <w:pPr>
        <w:spacing w:line="560" w:lineRule="exact"/>
        <w:ind w:right="640" w:firstLine="5920" w:firstLineChars="18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tbl>
      <w:tblPr>
        <w:tblStyle w:val="5"/>
        <w:tblpPr w:leftFromText="180" w:rightFromText="180" w:vertAnchor="page" w:horzAnchor="margin" w:tblpY="1756"/>
        <w:tblW w:w="83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企业名称（全称）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是否属于央企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□集团本部  □一级子公司  □二级及以下子公司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□非央企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企业类型（多选）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□软件企业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制造业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所属地区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省份：         地市：         区县：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所属行业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（按主营业务进行填写）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企业性质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□私营企业 □港、澳、台投资企业 □外商投资企业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□股份制企业 □国有企业 □集体所有制企业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□中外合资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是否为上市公司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统一社会信用代码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人员规模（人）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企业注册地址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手机/座机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官网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（例如：http://www.example.com）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企业简介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企业在质量、安全、信誉和社会责任等方面的情况说明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楷体_GB2312" w:hAnsi="楷体_GB2312" w:eastAsia="楷体_GB2312" w:cs="楷体_GB2312"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sz w:val="24"/>
              </w:rPr>
              <w:t>组织单位意见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年    月   日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rPr>
          <w:rFonts w:eastAsiaTheme="minorEastAsia"/>
        </w:rPr>
      </w:pPr>
    </w:p>
    <w:tbl>
      <w:tblPr>
        <w:tblStyle w:val="5"/>
        <w:tblpPr w:leftFromText="180" w:rightFromText="180" w:vertAnchor="text" w:horzAnchor="margin" w:tblpY="5"/>
        <w:tblW w:w="82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二、填报联系人信息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姓名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部门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职务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联系手机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固定电话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联系地址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联系邮箱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/>
    <w:p>
      <w:pPr>
        <w:rPr>
          <w:rFonts w:eastAsiaTheme="minorEastAsia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p>
      <w:pPr>
        <w:rPr>
          <w:rFonts w:eastAsiaTheme="minorEastAsia"/>
        </w:rPr>
      </w:pPr>
    </w:p>
    <w:tbl>
      <w:tblPr>
        <w:tblStyle w:val="5"/>
        <w:tblW w:w="8222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3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三、企业核心竞争力指标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经营规模指标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经营收入总额（万元）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年利润总额（万元）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资产总额（万元）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员工总数（万元）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技术创新成效指标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发明专利数量(件)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软件著作权数量(件)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工业APP研发人员比重（%）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上一财年工业APP研发费用投入（万元）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业绩成长指标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近三年工业APP总收入平均增长率（%）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近三年工业APP产品年利润总额平均增长率（%）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近三年工业APP研发团队规模平均增长率（%）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创新能力指标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企业是否获得融资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□获得天使轮融资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□获得A轮融资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□获得B轮及以上融资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已上市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其他: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企业是否获得创新创业项目资助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□尚未获得资助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□国家级资助：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□省级资助：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□市级资助：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□其它资助：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工业APP大赛获奖情况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关键业务环节工业技术软件化率（%）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整体工业技术软件化率：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填报说明：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1.关键业务环节工业技术软件化率计算方式：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工业技术软件化率=实现工业技术软件化的业务环节数/业务环节总数*100%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统计说明如下：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业务环节数：各行业对业务环节的定义和划分粒度存在一定差异，类似的概念包括：业务环节数、工艺数、流程数等，一般由行业标准或企业标准进行规定，可根据企业具体情况进行梳理。应至少涵盖：对成品的质量、性能、功能、寿命、可靠性及成本等有直接影响环节；产品和服务重要质量特性形成的环节；工艺复杂，质量容易波动，对工人技艺要求高或总是发生问题较多的环节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实现工业技术软件化：针对具体的业务环节、工艺指标、流程，分析其核心技术是否是通过软件的方式作用于工业活动。实现工业技术软件化，既包括直接封装成工业APP的方式，也包括形成供软件使用的某种算法、模型的方式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tbl>
      <w:tblPr>
        <w:tblStyle w:val="5"/>
        <w:tblW w:w="9390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四、工业互联网APP应用解决方案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应用解决方案名称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应用解决方案覆盖的业务环节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（可多选）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□产品设计 □工艺流程设计 □工艺过程控制设计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□产线设计 □试制试验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□生产计划管理 □生产作业管理 □物料配送管理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□设备工具管理 □质量检测类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□生产监控 □仓储与物流管理 □质量管理 □能源管理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□故障检测与预警分析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□采购管理 □供应链管理 □产业链协同 □风险管控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□销售管理 □物流配送管理 □售后服务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□其他：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应用解决方案包含工业互联网APP的知识产权归属说明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应用解决方案内可包含多个工业互联网APP，请简要描述所包含工业互联网APP的知识产权归属情况，例如自研发、购买、购买基础上自研发等。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应用解决方案包含工业互联网APP的重要时间节点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简要描述解决方案内工业互联网APP的使用情况大事记，包括项目立项、项目建设、项目应用及当前应用状况等信息。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应用成效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用数据说明工业互联网APP应用解决方案已经取得的应用成效。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创新性经验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说明在工业互联网APP应用解决方案的应用，企业在研发设计、生产制造、运营维护和经营管理等方面取得的创新性经验。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3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典型经验案例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典型经验案例按以下五部分展开：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1.名称（命名采用“‘企业名称’+‘应用解决方案’”的方式）。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2.概述（简要说明工业互联网APP及应用解决方案的基本情况）。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3.背景（说明原来的状态和希望解决的问题）。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4.典型经验案例。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5.实践及效果（说明典型经验案例在实践中如何应用，用实例和数据说明带来的变化和效果）。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典型经验案例要求：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1.案例不是若干项工作或APP功能的罗列。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2.案例可图文并茂，便于经验的传播和推广。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3.案例字数在3000-5000字之间。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4.案例可单独文件形式撰写。</w:t>
            </w:r>
          </w:p>
        </w:tc>
      </w:tr>
    </w:tbl>
    <w:p>
      <w:pPr>
        <w:adjustRightInd w:val="0"/>
        <w:snapToGrid w:val="0"/>
        <w:spacing w:before="48" w:beforeLines="20" w:line="300" w:lineRule="exact"/>
        <w:ind w:left="101" w:leftChars="-295" w:hanging="720" w:hangingChars="309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48" w:beforeLines="20" w:line="300" w:lineRule="exact"/>
        <w:ind w:left="117" w:leftChars="-295" w:hanging="736" w:hangingChars="316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1.工业互联网APP按知识来源分类说明：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业务信息化类。面向企业各实际业务场景，将业务管理规范、业务流程管控、业务信息流转等以信息化解决手段封装为工业互联网APP，实现各项业务的信息化管理。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数据分析类。基于企业各业务环节中所产生数据的集成，将数据挖掘、数据分析、数据处理等方法封装为工业互联网APP，实现以数据支撑业务管理与决策优化。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知识建模类。基于特定应用场景下归纳提炼的工业经验或机理，通过建立问题求解模型形成工业互联网APP，实现知识的复用和传承。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其他。</w:t>
      </w:r>
    </w:p>
    <w:p/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4690110</wp:posOffset>
              </wp:positionH>
              <wp:positionV relativeFrom="paragraph">
                <wp:posOffset>3810</wp:posOffset>
              </wp:positionV>
              <wp:extent cx="580390" cy="2832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3pt;margin-top:0.3pt;height:22.3pt;width:45.7pt;mso-position-horizontal-relative:margin;z-index:251658240;mso-width-relative:page;mso-height-relative:page;" filled="f" stroked="f" coordsize="21600,21600" o:gfxdata="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G15nXAAAABwEAAA8A&#10;AAAAAAAAAQAgAAAAIgAAAGRycy9kb3ducmV2LnhtbFBLAQIUABQAAAAIAIdO4kCAme5cGAIAABME&#10;AAAOAAAAAAAAAAEAIAAAACY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4A80"/>
    <w:multiLevelType w:val="singleLevel"/>
    <w:tmpl w:val="5C1D4A80"/>
    <w:lvl w:ilvl="0" w:tentative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0F7C90"/>
    <w:rsid w:val="29801465"/>
    <w:rsid w:val="39E569CD"/>
    <w:rsid w:val="3D385754"/>
    <w:rsid w:val="55670A24"/>
    <w:rsid w:val="64CA63B9"/>
    <w:rsid w:val="67B5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hp</cp:lastModifiedBy>
  <cp:lastPrinted>2019-12-20T07:14:00Z</cp:lastPrinted>
  <dcterms:modified xsi:type="dcterms:W3CDTF">2019-12-20T07:48:53Z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