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天津市工业和信息化研究院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7"/>
          <w:headerReference w:type="default" r:id="rId38"/>
          <w:headerReference w:type="first" r:id="rId39"/>
          <w:footerReference w:type="even" r:id="rId40"/>
          <w:footerReference w:type="default" r:id="rId41"/>
          <w:footerReference w:type="firs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403062085"/>
      <w:bookmarkStart w:id="2" w:name="_Toc13587160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天津市工业和信息化研究院</w:t>
      </w:r>
      <w:r>
        <w:rPr>
          <w:rFonts w:ascii="仿宋_GB2312" w:eastAsia="仿宋_GB2312" w:hint="eastAsia"/>
          <w:sz w:val="30"/>
          <w:szCs w:val="30"/>
        </w:rPr>
        <w:t xml:space="preserve">的主要职责是：</w:t>
      </w:r>
      <w:r>
        <w:rPr>
          <w:rFonts w:ascii="仿宋_GB2312" w:eastAsia="仿宋_GB2312" w:hint="eastAsia"/>
          <w:sz w:val="30"/>
          <w:szCs w:val="30"/>
        </w:rPr>
        <w:t xml:space="preserve">承担工业和信息化、军民融合、节能领域课题研究、政策咨询；承担区域经济、产业集群、战略性新兴产业发展趋势、路径和模式研究；对全市工业经济运行预测、监测提供技术服务和研究分析；承担节能和绿色制造监（检）测、推广、咨询、技术服务等工作；承担组织计算机软件考试、相关职称评审以及工业和信息化人才培养培训等工作；协助市工业和信息化局开展工业和信息化专项资金项目评审验收服务工作；承担世界智能大会策划、推广、招展和智能科技产业专家服务工作；承担上级部门委托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天津市工业和信息化研究院内设7个职能部门；下辖0个预算单位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天津市工业和信息化研究院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天津市工业和信息化研究院本级</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1,900,000.00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41,652,553.34</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snapToGrid w:val="0"/>
              <w:jc w:val="right"/>
            </w:pPr>
            <w:r>
              <w:rPr>
                <w:rFonts w:ascii="宋体" w:eastAsia="宋体" w:hAnsi="宋体" w:cs="宋体"/>
                <w:b w:val="0"/>
                <w:i w:val="0"/>
                <w:color w:val="000000"/>
                <w:sz w:val="23"/>
              </w:rPr>
              <w:t xml:space="preserve">43,482,650.55</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43,552,553.34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43,482,650.55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504,752.52</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574,655.31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44,057,305.86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44,057,305.86</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43,552,553.34</w:t>
            </w:r>
          </w:p>
        </w:tc>
        <w:tc>
          <w:tcPr>
            <w:tcW w:w="1240" w:type="dxa"/>
            <w:tcBorders/>
            <w:vAlign w:val="center"/>
          </w:tcPr>
          <w:p>
            <w:pPr>
              <w:snapToGrid w:val="0"/>
              <w:jc w:val="right"/>
            </w:pPr>
            <w:r>
              <w:rPr>
                <w:rFonts w:ascii="宋体" w:eastAsia="宋体" w:hAnsi="宋体" w:cs="宋体"/>
                <w:b w:val="0"/>
                <w:i w:val="0"/>
                <w:color w:val="000000"/>
                <w:sz w:val="14"/>
              </w:rPr>
              <w:t xml:space="preserve">1,900,000.00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41,652,553.34</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w:t>
            </w:r>
          </w:p>
        </w:tc>
        <w:tc>
          <w:tcPr>
            <w:tcW w:w="252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43,552,553.34</w:t>
            </w:r>
          </w:p>
        </w:tc>
        <w:tc>
          <w:tcPr>
            <w:tcW w:w="1240" w:type="dxa"/>
            <w:tcBorders/>
            <w:vAlign w:val="center"/>
          </w:tcPr>
          <w:p>
            <w:pPr>
              <w:snapToGrid w:val="0"/>
              <w:jc w:val="right"/>
            </w:pPr>
            <w:r>
              <w:rPr>
                <w:rFonts w:ascii="宋体" w:eastAsia="宋体" w:hAnsi="宋体" w:cs="宋体"/>
                <w:b w:val="0"/>
                <w:i w:val="0"/>
                <w:color w:val="000000"/>
                <w:sz w:val="14"/>
              </w:rPr>
              <w:t xml:space="preserve">1,900,000.00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41,652,553.34</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w:t>
            </w:r>
          </w:p>
        </w:tc>
        <w:tc>
          <w:tcPr>
            <w:tcW w:w="2520" w:type="dxa"/>
            <w:tcBorders/>
            <w:vAlign w:val="center"/>
          </w:tcPr>
          <w:p>
            <w:pPr>
              <w:snapToGrid w:val="0"/>
              <w:jc w:val="left"/>
            </w:pPr>
            <w:r>
              <w:rPr>
                <w:rFonts w:ascii="宋体" w:eastAsia="宋体" w:hAnsi="宋体" w:cs="宋体"/>
                <w:b w:val="0"/>
                <w:i w:val="0"/>
                <w:color w:val="000000"/>
                <w:sz w:val="14"/>
              </w:rPr>
              <w:t xml:space="preserve">工业和信息产业监管</w:t>
            </w:r>
          </w:p>
        </w:tc>
        <w:tc>
          <w:tcPr>
            <w:tcW w:w="1240" w:type="dxa"/>
            <w:tcBorders/>
            <w:vAlign w:val="center"/>
          </w:tcPr>
          <w:p>
            <w:pPr>
              <w:snapToGrid w:val="0"/>
              <w:jc w:val="right"/>
            </w:pPr>
            <w:r>
              <w:rPr>
                <w:rFonts w:ascii="宋体" w:eastAsia="宋体" w:hAnsi="宋体" w:cs="宋体"/>
                <w:b w:val="0"/>
                <w:i w:val="0"/>
                <w:color w:val="000000"/>
                <w:sz w:val="14"/>
              </w:rPr>
              <w:t xml:space="preserve">43,552,553.34</w:t>
            </w:r>
          </w:p>
        </w:tc>
        <w:tc>
          <w:tcPr>
            <w:tcW w:w="1240" w:type="dxa"/>
            <w:tcBorders/>
            <w:vAlign w:val="center"/>
          </w:tcPr>
          <w:p>
            <w:pPr>
              <w:snapToGrid w:val="0"/>
              <w:jc w:val="right"/>
            </w:pPr>
            <w:r>
              <w:rPr>
                <w:rFonts w:ascii="宋体" w:eastAsia="宋体" w:hAnsi="宋体" w:cs="宋体"/>
                <w:b w:val="0"/>
                <w:i w:val="0"/>
                <w:color w:val="000000"/>
                <w:sz w:val="14"/>
              </w:rPr>
              <w:t xml:space="preserve">1,900,000.00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41,652,553.34</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2150599</w:t>
            </w:r>
          </w:p>
        </w:tc>
        <w:tc>
          <w:tcPr>
            <w:tcW w:w="2520" w:type="dxa"/>
            <w:tcBorders/>
            <w:vAlign w:val="center"/>
          </w:tcPr>
          <w:p>
            <w:pPr>
              <w:snapToGrid w:val="0"/>
              <w:jc w:val="left"/>
            </w:pPr>
            <w:r>
              <w:rPr>
                <w:rFonts w:ascii="宋体" w:eastAsia="宋体" w:hAnsi="宋体" w:cs="宋体"/>
                <w:b w:val="0"/>
                <w:i w:val="0"/>
                <w:color w:val="000000"/>
                <w:sz w:val="14"/>
              </w:rPr>
              <w:t xml:space="preserve">其他工业和信息产业监管支出</w:t>
            </w:r>
          </w:p>
        </w:tc>
        <w:tc>
          <w:tcPr>
            <w:tcW w:w="1240" w:type="dxa"/>
            <w:tcBorders/>
            <w:vAlign w:val="center"/>
          </w:tcPr>
          <w:p>
            <w:pPr>
              <w:snapToGrid w:val="0"/>
              <w:jc w:val="right"/>
            </w:pPr>
            <w:r>
              <w:rPr>
                <w:rFonts w:ascii="宋体" w:eastAsia="宋体" w:hAnsi="宋体" w:cs="宋体"/>
                <w:b w:val="0"/>
                <w:i w:val="0"/>
                <w:color w:val="000000"/>
                <w:sz w:val="14"/>
              </w:rPr>
              <w:t xml:space="preserve">43,552,553.34</w:t>
            </w:r>
          </w:p>
        </w:tc>
        <w:tc>
          <w:tcPr>
            <w:tcW w:w="1240" w:type="dxa"/>
            <w:tcBorders/>
            <w:vAlign w:val="center"/>
          </w:tcPr>
          <w:p>
            <w:pPr>
              <w:snapToGrid w:val="0"/>
              <w:jc w:val="right"/>
            </w:pPr>
            <w:r>
              <w:rPr>
                <w:rFonts w:ascii="宋体" w:eastAsia="宋体" w:hAnsi="宋体" w:cs="宋体"/>
                <w:b w:val="0"/>
                <w:i w:val="0"/>
                <w:color w:val="000000"/>
                <w:sz w:val="14"/>
              </w:rPr>
              <w:t xml:space="preserve">1,900,000.00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41,652,553.34</w:t>
            </w: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44,057,305.86</w:t>
            </w:r>
          </w:p>
        </w:tc>
        <w:tc>
          <w:tcPr>
            <w:tcW w:w="580" w:type="dxa"/>
            <w:tcBorders/>
            <w:vAlign w:val="center"/>
          </w:tcPr>
          <w:p>
            <w:pPr>
              <w:snapToGrid w:val="0"/>
              <w:jc w:val="right"/>
            </w:pPr>
            <w:r>
              <w:rPr>
                <w:rFonts w:ascii="宋体" w:eastAsia="宋体" w:hAnsi="宋体" w:cs="宋体"/>
                <w:b w:val="0"/>
                <w:i w:val="0"/>
                <w:color w:val="000000"/>
                <w:sz w:val="9"/>
              </w:rPr>
              <w:t xml:space="preserve">43,552,553.34</w:t>
            </w:r>
          </w:p>
        </w:tc>
        <w:tc>
          <w:tcPr>
            <w:tcW w:w="580" w:type="dxa"/>
            <w:tcBorders/>
            <w:vAlign w:val="center"/>
          </w:tcPr>
          <w:p>
            <w:pPr>
              <w:snapToGrid w:val="0"/>
              <w:jc w:val="right"/>
            </w:pPr>
            <w:r>
              <w:rPr>
                <w:rFonts w:ascii="宋体" w:eastAsia="宋体" w:hAnsi="宋体" w:cs="宋体"/>
                <w:b w:val="0"/>
                <w:i w:val="0"/>
                <w:color w:val="000000"/>
                <w:sz w:val="9"/>
              </w:rPr>
              <w:t xml:space="preserve">1,900,000.00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41,652,553.34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504,752.52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504,752.52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504,752.52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322701</w:t>
            </w:r>
          </w:p>
        </w:tc>
        <w:tc>
          <w:tcPr>
            <w:tcW w:w="1520" w:type="dxa"/>
            <w:tcBorders/>
            <w:vAlign w:val="center"/>
          </w:tcPr>
          <w:p>
            <w:pPr>
              <w:snapToGrid w:val="0"/>
              <w:jc w:val="center"/>
            </w:pPr>
            <w:r>
              <w:rPr>
                <w:rFonts w:ascii="宋体" w:eastAsia="宋体" w:hAnsi="宋体" w:cs="宋体"/>
                <w:b w:val="0"/>
                <w:i w:val="0"/>
                <w:color w:val="000000"/>
                <w:sz w:val="9"/>
              </w:rPr>
              <w:t xml:space="preserve">天津市工业和信息化研究院</w:t>
            </w:r>
          </w:p>
        </w:tc>
        <w:tc>
          <w:tcPr>
            <w:tcW w:w="580" w:type="dxa"/>
            <w:tcBorders/>
            <w:vAlign w:val="center"/>
          </w:tcPr>
          <w:p>
            <w:pPr>
              <w:snapToGrid w:val="0"/>
              <w:jc w:val="right"/>
            </w:pPr>
            <w:r>
              <w:rPr>
                <w:rFonts w:ascii="宋体" w:eastAsia="宋体" w:hAnsi="宋体" w:cs="宋体"/>
                <w:b w:val="0"/>
                <w:i w:val="0"/>
                <w:color w:val="000000"/>
                <w:sz w:val="9"/>
              </w:rPr>
              <w:t xml:space="preserve">44,057,305.86</w:t>
            </w:r>
          </w:p>
        </w:tc>
        <w:tc>
          <w:tcPr>
            <w:tcW w:w="580" w:type="dxa"/>
            <w:tcBorders/>
            <w:vAlign w:val="center"/>
          </w:tcPr>
          <w:p>
            <w:pPr>
              <w:snapToGrid w:val="0"/>
              <w:jc w:val="right"/>
            </w:pPr>
            <w:r>
              <w:rPr>
                <w:rFonts w:ascii="宋体" w:eastAsia="宋体" w:hAnsi="宋体" w:cs="宋体"/>
                <w:b w:val="0"/>
                <w:i w:val="0"/>
                <w:color w:val="000000"/>
                <w:sz w:val="9"/>
              </w:rPr>
              <w:t xml:space="preserve">43,552,553.34</w:t>
            </w:r>
          </w:p>
        </w:tc>
        <w:tc>
          <w:tcPr>
            <w:tcW w:w="580" w:type="dxa"/>
            <w:tcBorders/>
            <w:vAlign w:val="center"/>
          </w:tcPr>
          <w:p>
            <w:pPr>
              <w:snapToGrid w:val="0"/>
              <w:jc w:val="right"/>
            </w:pPr>
            <w:r>
              <w:rPr>
                <w:rFonts w:ascii="宋体" w:eastAsia="宋体" w:hAnsi="宋体" w:cs="宋体"/>
                <w:b w:val="0"/>
                <w:i w:val="0"/>
                <w:color w:val="000000"/>
                <w:sz w:val="9"/>
              </w:rPr>
              <w:t xml:space="preserve">1,900,000.00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41,652,553.34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504,752.52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504,752.52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504,752.52</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43,482,650.55</w:t>
            </w:r>
          </w:p>
        </w:tc>
        <w:tc>
          <w:tcPr>
            <w:tcW w:w="1320" w:type="dxa"/>
            <w:tcBorders/>
            <w:vAlign w:val="center"/>
          </w:tcPr>
          <w:p>
            <w:pPr>
              <w:snapToGrid w:val="0"/>
              <w:jc w:val="right"/>
            </w:pPr>
            <w:r>
              <w:rPr>
                <w:rFonts w:ascii="宋体" w:eastAsia="宋体" w:hAnsi="宋体" w:cs="宋体"/>
                <w:b w:val="0"/>
                <w:i w:val="0"/>
                <w:color w:val="000000"/>
                <w:sz w:val="15"/>
              </w:rPr>
              <w:t xml:space="preserve">41,582,650.55</w:t>
            </w:r>
          </w:p>
        </w:tc>
        <w:tc>
          <w:tcPr>
            <w:tcW w:w="1320" w:type="dxa"/>
            <w:tcBorders/>
            <w:vAlign w:val="center"/>
          </w:tcPr>
          <w:p>
            <w:pPr>
              <w:snapToGrid w:val="0"/>
              <w:jc w:val="right"/>
            </w:pPr>
            <w:r>
              <w:rPr>
                <w:rFonts w:ascii="宋体" w:eastAsia="宋体" w:hAnsi="宋体" w:cs="宋体"/>
                <w:b w:val="0"/>
                <w:i w:val="0"/>
                <w:color w:val="000000"/>
                <w:sz w:val="15"/>
              </w:rPr>
              <w:t xml:space="preserve">1,900,000.00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w:t>
            </w:r>
          </w:p>
        </w:tc>
        <w:tc>
          <w:tcPr>
            <w:tcW w:w="4400" w:type="dxa"/>
            <w:tcBorders/>
            <w:vAlign w:val="center"/>
          </w:tcPr>
          <w:p>
            <w:pPr>
              <w:snapToGrid w:val="0"/>
              <w:jc w:val="left"/>
            </w:pPr>
            <w:r>
              <w:rPr>
                <w:rFonts w:ascii="宋体" w:eastAsia="宋体" w:hAnsi="宋体" w:cs="宋体"/>
                <w:b w:val="0"/>
                <w:i w:val="0"/>
                <w:color w:val="000000"/>
                <w:sz w:val="15"/>
              </w:rPr>
              <w:t xml:space="preserve">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43,482,650.55</w:t>
            </w:r>
          </w:p>
        </w:tc>
        <w:tc>
          <w:tcPr>
            <w:tcW w:w="1320" w:type="dxa"/>
            <w:tcBorders/>
            <w:vAlign w:val="center"/>
          </w:tcPr>
          <w:p>
            <w:pPr>
              <w:snapToGrid w:val="0"/>
              <w:jc w:val="right"/>
            </w:pPr>
            <w:r>
              <w:rPr>
                <w:rFonts w:ascii="宋体" w:eastAsia="宋体" w:hAnsi="宋体" w:cs="宋体"/>
                <w:b w:val="0"/>
                <w:i w:val="0"/>
                <w:color w:val="000000"/>
                <w:sz w:val="15"/>
              </w:rPr>
              <w:t xml:space="preserve">41,582,650.55</w:t>
            </w:r>
          </w:p>
        </w:tc>
        <w:tc>
          <w:tcPr>
            <w:tcW w:w="1320" w:type="dxa"/>
            <w:tcBorders/>
            <w:vAlign w:val="center"/>
          </w:tcPr>
          <w:p>
            <w:pPr>
              <w:snapToGrid w:val="0"/>
              <w:jc w:val="right"/>
            </w:pPr>
            <w:r>
              <w:rPr>
                <w:rFonts w:ascii="宋体" w:eastAsia="宋体" w:hAnsi="宋体" w:cs="宋体"/>
                <w:b w:val="0"/>
                <w:i w:val="0"/>
                <w:color w:val="000000"/>
                <w:sz w:val="15"/>
              </w:rPr>
              <w:t xml:space="preserve">1,900,000.00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w:t>
            </w:r>
          </w:p>
        </w:tc>
        <w:tc>
          <w:tcPr>
            <w:tcW w:w="4400" w:type="dxa"/>
            <w:tcBorders/>
            <w:vAlign w:val="center"/>
          </w:tcPr>
          <w:p>
            <w:pPr>
              <w:snapToGrid w:val="0"/>
              <w:jc w:val="left"/>
            </w:pPr>
            <w:r>
              <w:rPr>
                <w:rFonts w:ascii="宋体" w:eastAsia="宋体" w:hAnsi="宋体" w:cs="宋体"/>
                <w:b w:val="0"/>
                <w:i w:val="0"/>
                <w:color w:val="000000"/>
                <w:sz w:val="15"/>
              </w:rPr>
              <w:t xml:space="preserve">工业和信息产业监管</w:t>
            </w:r>
          </w:p>
        </w:tc>
        <w:tc>
          <w:tcPr>
            <w:tcW w:w="1320" w:type="dxa"/>
            <w:tcBorders/>
            <w:vAlign w:val="center"/>
          </w:tcPr>
          <w:p>
            <w:pPr>
              <w:snapToGrid w:val="0"/>
              <w:jc w:val="right"/>
            </w:pPr>
            <w:r>
              <w:rPr>
                <w:rFonts w:ascii="宋体" w:eastAsia="宋体" w:hAnsi="宋体" w:cs="宋体"/>
                <w:b w:val="0"/>
                <w:i w:val="0"/>
                <w:color w:val="000000"/>
                <w:sz w:val="15"/>
              </w:rPr>
              <w:t xml:space="preserve">43,482,650.55</w:t>
            </w:r>
          </w:p>
        </w:tc>
        <w:tc>
          <w:tcPr>
            <w:tcW w:w="1320" w:type="dxa"/>
            <w:tcBorders/>
            <w:vAlign w:val="center"/>
          </w:tcPr>
          <w:p>
            <w:pPr>
              <w:snapToGrid w:val="0"/>
              <w:jc w:val="right"/>
            </w:pPr>
            <w:r>
              <w:rPr>
                <w:rFonts w:ascii="宋体" w:eastAsia="宋体" w:hAnsi="宋体" w:cs="宋体"/>
                <w:b w:val="0"/>
                <w:i w:val="0"/>
                <w:color w:val="000000"/>
                <w:sz w:val="15"/>
              </w:rPr>
              <w:t xml:space="preserve">41,582,650.55</w:t>
            </w:r>
          </w:p>
        </w:tc>
        <w:tc>
          <w:tcPr>
            <w:tcW w:w="1320" w:type="dxa"/>
            <w:tcBorders/>
            <w:vAlign w:val="center"/>
          </w:tcPr>
          <w:p>
            <w:pPr>
              <w:snapToGrid w:val="0"/>
              <w:jc w:val="right"/>
            </w:pPr>
            <w:r>
              <w:rPr>
                <w:rFonts w:ascii="宋体" w:eastAsia="宋体" w:hAnsi="宋体" w:cs="宋体"/>
                <w:b w:val="0"/>
                <w:i w:val="0"/>
                <w:color w:val="000000"/>
                <w:sz w:val="15"/>
              </w:rPr>
              <w:t xml:space="preserve">1,900,000.00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2150599</w:t>
            </w:r>
          </w:p>
        </w:tc>
        <w:tc>
          <w:tcPr>
            <w:tcW w:w="4400" w:type="dxa"/>
            <w:tcBorders/>
            <w:vAlign w:val="center"/>
          </w:tcPr>
          <w:p>
            <w:pPr>
              <w:snapToGrid w:val="0"/>
              <w:jc w:val="left"/>
            </w:pPr>
            <w:r>
              <w:rPr>
                <w:rFonts w:ascii="宋体" w:eastAsia="宋体" w:hAnsi="宋体" w:cs="宋体"/>
                <w:b w:val="0"/>
                <w:i w:val="0"/>
                <w:color w:val="000000"/>
                <w:sz w:val="15"/>
              </w:rPr>
              <w:t xml:space="preserve">其他工业和信息产业监管支出</w:t>
            </w:r>
          </w:p>
        </w:tc>
        <w:tc>
          <w:tcPr>
            <w:tcW w:w="1320" w:type="dxa"/>
            <w:tcBorders/>
            <w:vAlign w:val="center"/>
          </w:tcPr>
          <w:p>
            <w:pPr>
              <w:snapToGrid w:val="0"/>
              <w:jc w:val="right"/>
            </w:pPr>
            <w:r>
              <w:rPr>
                <w:rFonts w:ascii="宋体" w:eastAsia="宋体" w:hAnsi="宋体" w:cs="宋体"/>
                <w:b w:val="0"/>
                <w:i w:val="0"/>
                <w:color w:val="000000"/>
                <w:sz w:val="15"/>
              </w:rPr>
              <w:t xml:space="preserve">43,482,650.55</w:t>
            </w:r>
          </w:p>
        </w:tc>
        <w:tc>
          <w:tcPr>
            <w:tcW w:w="1320" w:type="dxa"/>
            <w:tcBorders/>
            <w:vAlign w:val="center"/>
          </w:tcPr>
          <w:p>
            <w:pPr>
              <w:snapToGrid w:val="0"/>
              <w:jc w:val="right"/>
            </w:pPr>
            <w:r>
              <w:rPr>
                <w:rFonts w:ascii="宋体" w:eastAsia="宋体" w:hAnsi="宋体" w:cs="宋体"/>
                <w:b w:val="0"/>
                <w:i w:val="0"/>
                <w:color w:val="000000"/>
                <w:sz w:val="15"/>
              </w:rPr>
              <w:t xml:space="preserve">41,582,650.55</w:t>
            </w:r>
          </w:p>
        </w:tc>
        <w:tc>
          <w:tcPr>
            <w:tcW w:w="1320" w:type="dxa"/>
            <w:tcBorders/>
            <w:vAlign w:val="center"/>
          </w:tcPr>
          <w:p>
            <w:pPr>
              <w:snapToGrid w:val="0"/>
              <w:jc w:val="right"/>
            </w:pPr>
            <w:r>
              <w:rPr>
                <w:rFonts w:ascii="宋体" w:eastAsia="宋体" w:hAnsi="宋体" w:cs="宋体"/>
                <w:b w:val="0"/>
                <w:i w:val="0"/>
                <w:color w:val="000000"/>
                <w:sz w:val="15"/>
              </w:rPr>
              <w:t xml:space="preserve">1,900,000.00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1,900,000.00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snapToGrid w:val="0"/>
              <w:jc w:val="right"/>
            </w:pPr>
            <w:r>
              <w:rPr>
                <w:rFonts w:ascii="宋体" w:eastAsia="宋体" w:hAnsi="宋体" w:cs="宋体"/>
                <w:b w:val="0"/>
                <w:i w:val="0"/>
                <w:color w:val="000000"/>
                <w:sz w:val="16"/>
              </w:rPr>
              <w:t xml:space="preserve">1,900,000.00</w:t>
            </w:r>
          </w:p>
        </w:tc>
        <w:tc>
          <w:tcPr>
            <w:tcW w:w="1420" w:type="dxa"/>
            <w:tcBorders/>
            <w:vAlign w:val="center"/>
          </w:tcPr>
          <w:p>
            <w:pPr>
              <w:snapToGrid w:val="0"/>
              <w:jc w:val="right"/>
            </w:pPr>
            <w:r>
              <w:rPr>
                <w:rFonts w:ascii="宋体" w:eastAsia="宋体" w:hAnsi="宋体" w:cs="宋体"/>
                <w:b w:val="0"/>
                <w:i w:val="0"/>
                <w:color w:val="000000"/>
                <w:sz w:val="16"/>
              </w:rPr>
              <w:t xml:space="preserve">1,900,000.00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1,900,000.00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1,900,000.00</w:t>
            </w:r>
          </w:p>
        </w:tc>
        <w:tc>
          <w:tcPr>
            <w:tcW w:w="1420" w:type="dxa"/>
            <w:tcBorders/>
            <w:vAlign w:val="center"/>
          </w:tcPr>
          <w:p>
            <w:pPr>
              <w:snapToGrid w:val="0"/>
              <w:jc w:val="right"/>
            </w:pPr>
            <w:r>
              <w:rPr>
                <w:rFonts w:ascii="宋体" w:eastAsia="宋体" w:hAnsi="宋体" w:cs="宋体"/>
                <w:b w:val="0"/>
                <w:i w:val="0"/>
                <w:color w:val="000000"/>
                <w:sz w:val="16"/>
              </w:rPr>
              <w:t xml:space="preserve">1,900,000.00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1,900,000.00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1,900,000.00</w:t>
            </w:r>
          </w:p>
        </w:tc>
        <w:tc>
          <w:tcPr>
            <w:tcW w:w="1420" w:type="dxa"/>
            <w:tcBorders/>
            <w:vAlign w:val="center"/>
          </w:tcPr>
          <w:p>
            <w:pPr>
              <w:snapToGrid w:val="0"/>
              <w:jc w:val="right"/>
            </w:pPr>
            <w:r>
              <w:rPr>
                <w:rFonts w:ascii="宋体" w:eastAsia="宋体" w:hAnsi="宋体" w:cs="宋体"/>
                <w:b w:val="0"/>
                <w:i w:val="0"/>
                <w:color w:val="000000"/>
                <w:sz w:val="16"/>
              </w:rPr>
              <w:t xml:space="preserve">1,900,000.00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1,900,000.00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w:t>
            </w:r>
          </w:p>
        </w:tc>
        <w:tc>
          <w:tcPr>
            <w:tcW w:w="3480" w:type="dxa"/>
            <w:tcBorders/>
            <w:vAlign w:val="center"/>
          </w:tcPr>
          <w:p>
            <w:pPr>
              <w:snapToGrid w:val="0"/>
              <w:jc w:val="left"/>
            </w:pPr>
            <w:r>
              <w:rPr>
                <w:rFonts w:ascii="宋体" w:eastAsia="宋体" w:hAnsi="宋体" w:cs="宋体"/>
                <w:b w:val="0"/>
                <w:i w:val="0"/>
                <w:color w:val="000000"/>
                <w:sz w:val="20"/>
              </w:rPr>
              <w:t xml:space="preserve">资源勘探工业信息等支出</w:t>
            </w:r>
          </w:p>
        </w:tc>
        <w:tc>
          <w:tcPr>
            <w:tcW w:w="1720" w:type="dxa"/>
            <w:tcBorders/>
            <w:vAlign w:val="center"/>
          </w:tcPr>
          <w:p>
            <w:pPr>
              <w:snapToGrid w:val="0"/>
              <w:jc w:val="right"/>
            </w:pPr>
            <w:r>
              <w:rPr>
                <w:rFonts w:ascii="宋体" w:eastAsia="宋体" w:hAnsi="宋体" w:cs="宋体"/>
                <w:b w:val="0"/>
                <w:i w:val="0"/>
                <w:color w:val="000000"/>
                <w:sz w:val="20"/>
              </w:rPr>
              <w:t xml:space="preserve">1,900,000.00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w:t>
            </w:r>
          </w:p>
        </w:tc>
        <w:tc>
          <w:tcPr>
            <w:tcW w:w="3480" w:type="dxa"/>
            <w:tcBorders/>
            <w:vAlign w:val="center"/>
          </w:tcPr>
          <w:p>
            <w:pPr>
              <w:snapToGrid w:val="0"/>
              <w:jc w:val="left"/>
            </w:pPr>
            <w:r>
              <w:rPr>
                <w:rFonts w:ascii="宋体" w:eastAsia="宋体" w:hAnsi="宋体" w:cs="宋体"/>
                <w:b w:val="0"/>
                <w:i w:val="0"/>
                <w:color w:val="000000"/>
                <w:sz w:val="20"/>
              </w:rPr>
              <w:t xml:space="preserve">工业和信息产业监管</w:t>
            </w:r>
          </w:p>
        </w:tc>
        <w:tc>
          <w:tcPr>
            <w:tcW w:w="1720" w:type="dxa"/>
            <w:tcBorders/>
            <w:vAlign w:val="center"/>
          </w:tcPr>
          <w:p>
            <w:pPr>
              <w:snapToGrid w:val="0"/>
              <w:jc w:val="right"/>
            </w:pPr>
            <w:r>
              <w:rPr>
                <w:rFonts w:ascii="宋体" w:eastAsia="宋体" w:hAnsi="宋体" w:cs="宋体"/>
                <w:b w:val="0"/>
                <w:i w:val="0"/>
                <w:color w:val="000000"/>
                <w:sz w:val="20"/>
              </w:rPr>
              <w:t xml:space="preserve">1,900,000.00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2150599</w:t>
            </w:r>
          </w:p>
        </w:tc>
        <w:tc>
          <w:tcPr>
            <w:tcW w:w="3480" w:type="dxa"/>
            <w:tcBorders/>
            <w:vAlign w:val="center"/>
          </w:tcPr>
          <w:p>
            <w:pPr>
              <w:snapToGrid w:val="0"/>
              <w:jc w:val="left"/>
            </w:pPr>
            <w:r>
              <w:rPr>
                <w:rFonts w:ascii="宋体" w:eastAsia="宋体" w:hAnsi="宋体" w:cs="宋体"/>
                <w:b w:val="0"/>
                <w:i w:val="0"/>
                <w:color w:val="000000"/>
                <w:sz w:val="20"/>
              </w:rPr>
              <w:t xml:space="preserve">其他工业和信息产业监管支出</w:t>
            </w:r>
          </w:p>
        </w:tc>
        <w:tc>
          <w:tcPr>
            <w:tcW w:w="1720" w:type="dxa"/>
            <w:tcBorders/>
            <w:vAlign w:val="center"/>
          </w:tcPr>
          <w:p>
            <w:pPr>
              <w:snapToGrid w:val="0"/>
              <w:jc w:val="right"/>
            </w:pPr>
            <w:r>
              <w:rPr>
                <w:rFonts w:ascii="宋体" w:eastAsia="宋体" w:hAnsi="宋体" w:cs="宋体"/>
                <w:b w:val="0"/>
                <w:i w:val="0"/>
                <w:color w:val="000000"/>
                <w:sz w:val="20"/>
              </w:rPr>
              <w:t xml:space="preserve">1,900,000.00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1,900,000.00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天津市工业和信息化研究院2024年度一般公共预算财政拨款基本支出决算表为空表。</w:t>
      </w:r>
    </w:p>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186085211"/>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天津市工业和信息化研究院2024年度政府性基金预算财政拨款收入支出决算表为空表。</w:t>
      </w:r>
      <w:bookmarkStart w:id="30" w:name="_Toc1662304910"/>
      <w:bookmarkStart w:id="31" w:name="_Toc1951730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天津市工业和信息化研究院2024年国有资本经营预算财政拨款收入支出决算表为空表。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天津市工业和信息化研究院2024年财政拨款“三公”经费支出决算表为空表。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1,900,000.00</w:t>
            </w:r>
          </w:p>
        </w:tc>
        <w:tc>
          <w:tcPr>
            <w:tcW w:w="1240" w:type="dxa"/>
            <w:tcBorders/>
            <w:vAlign w:val="center"/>
          </w:tcPr>
          <w:p>
            <w:pPr>
              <w:snapToGrid w:val="0"/>
              <w:jc w:val="right"/>
            </w:pPr>
            <w:r>
              <w:rPr>
                <w:rFonts w:ascii="宋体" w:eastAsia="宋体" w:hAnsi="宋体" w:cs="宋体"/>
                <w:b w:val="0"/>
                <w:i w:val="0"/>
                <w:color w:val="000000"/>
                <w:sz w:val="14"/>
              </w:rPr>
              <w:t xml:space="preserve">1,900,000.00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w:t>
            </w:r>
          </w:p>
        </w:tc>
        <w:tc>
          <w:tcPr>
            <w:tcW w:w="524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160" w:type="dxa"/>
            <w:tcBorders/>
            <w:vAlign w:val="center"/>
          </w:tcPr>
          <w:p>
            <w:pPr>
              <w:snapToGrid w:val="0"/>
              <w:jc w:val="right"/>
            </w:pPr>
            <w:r>
              <w:rPr>
                <w:rFonts w:ascii="宋体" w:eastAsia="宋体" w:hAnsi="宋体" w:cs="宋体"/>
                <w:b w:val="0"/>
                <w:i w:val="0"/>
                <w:color w:val="000000"/>
                <w:sz w:val="14"/>
              </w:rPr>
              <w:t xml:space="preserve">1,900,000.00</w:t>
            </w:r>
          </w:p>
        </w:tc>
        <w:tc>
          <w:tcPr>
            <w:tcW w:w="1240" w:type="dxa"/>
            <w:tcBorders/>
            <w:vAlign w:val="center"/>
          </w:tcPr>
          <w:p>
            <w:pPr>
              <w:snapToGrid w:val="0"/>
              <w:jc w:val="right"/>
            </w:pPr>
            <w:r>
              <w:rPr>
                <w:rFonts w:ascii="宋体" w:eastAsia="宋体" w:hAnsi="宋体" w:cs="宋体"/>
                <w:b w:val="0"/>
                <w:i w:val="0"/>
                <w:color w:val="000000"/>
                <w:sz w:val="14"/>
              </w:rPr>
              <w:t xml:space="preserve">1,900,000.00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w:t>
            </w:r>
          </w:p>
        </w:tc>
        <w:tc>
          <w:tcPr>
            <w:tcW w:w="5240" w:type="dxa"/>
            <w:tcBorders/>
            <w:vAlign w:val="center"/>
          </w:tcPr>
          <w:p>
            <w:pPr>
              <w:snapToGrid w:val="0"/>
              <w:jc w:val="left"/>
            </w:pPr>
            <w:r>
              <w:rPr>
                <w:rFonts w:ascii="宋体" w:eastAsia="宋体" w:hAnsi="宋体" w:cs="宋体"/>
                <w:b w:val="0"/>
                <w:i w:val="0"/>
                <w:color w:val="000000"/>
                <w:sz w:val="14"/>
              </w:rPr>
              <w:t xml:space="preserve">工业和信息产业监管</w:t>
            </w:r>
          </w:p>
        </w:tc>
        <w:tc>
          <w:tcPr>
            <w:tcW w:w="1160" w:type="dxa"/>
            <w:tcBorders/>
            <w:vAlign w:val="center"/>
          </w:tcPr>
          <w:p>
            <w:pPr>
              <w:snapToGrid w:val="0"/>
              <w:jc w:val="right"/>
            </w:pPr>
            <w:r>
              <w:rPr>
                <w:rFonts w:ascii="宋体" w:eastAsia="宋体" w:hAnsi="宋体" w:cs="宋体"/>
                <w:b w:val="0"/>
                <w:i w:val="0"/>
                <w:color w:val="000000"/>
                <w:sz w:val="14"/>
              </w:rPr>
              <w:t xml:space="preserve">1,900,000.00</w:t>
            </w:r>
          </w:p>
        </w:tc>
        <w:tc>
          <w:tcPr>
            <w:tcW w:w="1240" w:type="dxa"/>
            <w:tcBorders/>
            <w:vAlign w:val="center"/>
          </w:tcPr>
          <w:p>
            <w:pPr>
              <w:snapToGrid w:val="0"/>
              <w:jc w:val="right"/>
            </w:pPr>
            <w:r>
              <w:rPr>
                <w:rFonts w:ascii="宋体" w:eastAsia="宋体" w:hAnsi="宋体" w:cs="宋体"/>
                <w:b w:val="0"/>
                <w:i w:val="0"/>
                <w:color w:val="000000"/>
                <w:sz w:val="14"/>
              </w:rPr>
              <w:t xml:space="preserve">1,900,000.00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2150599</w:t>
            </w:r>
          </w:p>
        </w:tc>
        <w:tc>
          <w:tcPr>
            <w:tcW w:w="5240" w:type="dxa"/>
            <w:tcBorders/>
            <w:vAlign w:val="center"/>
          </w:tcPr>
          <w:p>
            <w:pPr>
              <w:snapToGrid w:val="0"/>
              <w:jc w:val="left"/>
            </w:pPr>
            <w:r>
              <w:rPr>
                <w:rFonts w:ascii="宋体" w:eastAsia="宋体" w:hAnsi="宋体" w:cs="宋体"/>
                <w:b w:val="0"/>
                <w:i w:val="0"/>
                <w:color w:val="000000"/>
                <w:sz w:val="14"/>
              </w:rPr>
              <w:t xml:space="preserve">其他工业和信息产业监管支出</w:t>
            </w:r>
          </w:p>
        </w:tc>
        <w:tc>
          <w:tcPr>
            <w:tcW w:w="1160" w:type="dxa"/>
            <w:tcBorders/>
            <w:vAlign w:val="center"/>
          </w:tcPr>
          <w:p>
            <w:pPr>
              <w:snapToGrid w:val="0"/>
              <w:jc w:val="right"/>
            </w:pPr>
            <w:r>
              <w:rPr>
                <w:rFonts w:ascii="宋体" w:eastAsia="宋体" w:hAnsi="宋体" w:cs="宋体"/>
                <w:b w:val="0"/>
                <w:i w:val="0"/>
                <w:color w:val="000000"/>
                <w:sz w:val="14"/>
              </w:rPr>
              <w:t xml:space="preserve">1,900,000.00</w:t>
            </w:r>
          </w:p>
        </w:tc>
        <w:tc>
          <w:tcPr>
            <w:tcW w:w="1240" w:type="dxa"/>
            <w:tcBorders/>
            <w:vAlign w:val="center"/>
          </w:tcPr>
          <w:p>
            <w:pPr>
              <w:snapToGrid w:val="0"/>
              <w:jc w:val="right"/>
            </w:pPr>
            <w:r>
              <w:rPr>
                <w:rFonts w:ascii="宋体" w:eastAsia="宋体" w:hAnsi="宋体" w:cs="宋体"/>
                <w:b w:val="0"/>
                <w:i w:val="0"/>
                <w:color w:val="000000"/>
                <w:sz w:val="14"/>
              </w:rPr>
              <w:t xml:space="preserve">1,900,000.00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2150599</w:t>
            </w:r>
          </w:p>
        </w:tc>
        <w:tc>
          <w:tcPr>
            <w:tcW w:w="5240" w:type="dxa"/>
            <w:tcBorders/>
            <w:vAlign w:val="center"/>
          </w:tcPr>
          <w:p>
            <w:pPr>
              <w:snapToGrid w:val="0"/>
              <w:jc w:val="left"/>
            </w:pPr>
            <w:r>
              <w:rPr>
                <w:rFonts w:ascii="宋体" w:eastAsia="宋体" w:hAnsi="宋体" w:cs="宋体"/>
                <w:b w:val="0"/>
                <w:i w:val="0"/>
                <w:color w:val="000000"/>
                <w:sz w:val="14"/>
              </w:rPr>
              <w:t xml:space="preserve">工业和信息产业</w:t>
            </w:r>
          </w:p>
        </w:tc>
        <w:tc>
          <w:tcPr>
            <w:tcW w:w="1160" w:type="dxa"/>
            <w:tcBorders/>
            <w:vAlign w:val="center"/>
          </w:tcPr>
          <w:p>
            <w:pPr>
              <w:snapToGrid w:val="0"/>
              <w:jc w:val="right"/>
            </w:pPr>
            <w:r>
              <w:rPr>
                <w:rFonts w:ascii="宋体" w:eastAsia="宋体" w:hAnsi="宋体" w:cs="宋体"/>
                <w:b w:val="0"/>
                <w:i w:val="0"/>
                <w:color w:val="000000"/>
                <w:sz w:val="14"/>
              </w:rPr>
              <w:t xml:space="preserve">1,900,000.00</w:t>
            </w:r>
          </w:p>
        </w:tc>
        <w:tc>
          <w:tcPr>
            <w:tcW w:w="1240" w:type="dxa"/>
            <w:tcBorders/>
            <w:vAlign w:val="center"/>
          </w:tcPr>
          <w:p>
            <w:pPr>
              <w:snapToGrid w:val="0"/>
              <w:jc w:val="right"/>
            </w:pPr>
            <w:r>
              <w:rPr>
                <w:rFonts w:ascii="宋体" w:eastAsia="宋体" w:hAnsi="宋体" w:cs="宋体"/>
                <w:b w:val="0"/>
                <w:i w:val="0"/>
                <w:color w:val="000000"/>
                <w:sz w:val="14"/>
              </w:rPr>
              <w:t xml:space="preserve">1,900,000.00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429281603"/>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天津市工业和信息化研究院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44,057,305.86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增加44,057,305.86元</w:t>
      </w:r>
      <w:r>
        <w:rPr>
          <w:rFonts w:eastAsia="仿宋_GB2312" w:hint="eastAsia"/>
          <w:sz w:val="30"/>
          <w:szCs w:val="30"/>
        </w:rPr>
        <w:t xml:space="preserve">，主要原因是</w:t>
      </w:r>
      <w:r>
        <w:rPr>
          <w:rFonts w:eastAsia="仿宋_GB2312" w:hint="eastAsia"/>
          <w:sz w:val="30"/>
          <w:szCs w:val="30"/>
        </w:rPr>
        <w:t xml:space="preserve">天津市工业和信息化研究院为新纳入部门预算单位</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一般公共预算财政拨款收入1,900,000.00元、事业单位经营收入41,652,553.34元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资源勘探工业信息等支出43,482,650.55元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天津市工业和信息化研究院</w:t>
      </w:r>
      <w:r>
        <w:rPr>
          <w:rFonts w:eastAsia="仿宋_GB2312" w:hint="eastAsia"/>
          <w:sz w:val="30"/>
          <w:szCs w:val="30"/>
        </w:rPr>
        <w:t xml:space="preserve">2024年度本年收入合计</w:t>
      </w:r>
      <w:r>
        <w:rPr>
          <w:rFonts w:eastAsia="仿宋_GB2312" w:hint="eastAsia"/>
          <w:sz w:val="30"/>
          <w:szCs w:val="30"/>
        </w:rPr>
        <w:t xml:space="preserve">43,552,553.34</w:t>
      </w:r>
      <w:r>
        <w:rPr>
          <w:rFonts w:eastAsia="仿宋_GB2312" w:hint="eastAsia"/>
          <w:sz w:val="30"/>
          <w:szCs w:val="30"/>
        </w:rPr>
        <w:t xml:space="preserve">元，与2023年度相比</w:t>
      </w:r>
      <w:r>
        <w:rPr>
          <w:rFonts w:eastAsia="仿宋_GB2312" w:hint="eastAsia"/>
          <w:sz w:val="30"/>
          <w:szCs w:val="30"/>
        </w:rPr>
        <w:t xml:space="preserve">增加43,552,553.34元，</w:t>
      </w:r>
      <w:r>
        <w:rPr>
          <w:rFonts w:eastAsia="仿宋_GB2312" w:hint="eastAsia"/>
          <w:sz w:val="30"/>
          <w:szCs w:val="30"/>
        </w:rPr>
        <w:t xml:space="preserve">主要原因是</w:t>
      </w:r>
      <w:r>
        <w:rPr>
          <w:rFonts w:eastAsia="仿宋_GB2312" w:hint="eastAsia"/>
          <w:sz w:val="30"/>
          <w:szCs w:val="30"/>
        </w:rPr>
        <w:t xml:space="preserve">天津市工业和信息化研究院为新纳入部门预算单位</w:t>
      </w:r>
      <w:r>
        <w:rPr>
          <w:rFonts w:eastAsia="仿宋_GB2312" w:hint="eastAsia"/>
          <w:sz w:val="30"/>
          <w:szCs w:val="30"/>
        </w:rPr>
        <w:t xml:space="preserve">。其中：</w:t>
      </w:r>
      <w:r>
        <w:rPr>
          <w:rFonts w:eastAsia="仿宋_GB2312" w:hint="eastAsia"/>
          <w:sz w:val="30"/>
          <w:szCs w:val="30"/>
        </w:rPr>
        <w:t xml:space="preserve">一般公共预算财政拨款收入1,900,000.00元，占4.363%；事业单位经营收入41,652,553.34元，占95.637%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天津市工业和信息化研究院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43,482,650.55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增加43,482,650.55元，</w:t>
      </w:r>
      <w:r>
        <w:rPr>
          <w:rFonts w:eastAsia="仿宋_GB2312" w:hint="eastAsia"/>
          <w:sz w:val="30"/>
          <w:szCs w:val="30"/>
        </w:rPr>
        <w:t xml:space="preserve">主要原因是</w:t>
      </w:r>
      <w:r>
        <w:rPr>
          <w:rFonts w:eastAsia="仿宋_GB2312" w:hint="eastAsia"/>
          <w:sz w:val="30"/>
          <w:szCs w:val="30"/>
        </w:rPr>
        <w:t xml:space="preserve">天津市工业和信息化研究院为新纳入部门预算单位</w:t>
      </w:r>
      <w:r>
        <w:rPr>
          <w:rFonts w:eastAsia="仿宋_GB2312" w:hint="eastAsia"/>
          <w:sz w:val="30"/>
          <w:szCs w:val="30"/>
        </w:rPr>
        <w:t xml:space="preserve">。其中：</w:t>
      </w:r>
      <w:r>
        <w:rPr>
          <w:rFonts w:eastAsia="仿宋_GB2312" w:hint="eastAsia"/>
          <w:sz w:val="30"/>
          <w:szCs w:val="30"/>
        </w:rPr>
        <w:t xml:space="preserve">基本支出41,582,650.55元，占95.630%；项目支出1,900,000.00元，占4.370%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天津市工业和信息化研究院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1,900,000.00</w:t>
      </w:r>
      <w:r>
        <w:rPr>
          <w:rFonts w:eastAsia="仿宋_GB2312" w:hint="eastAsia"/>
          <w:sz w:val="30"/>
          <w:szCs w:val="30"/>
        </w:rPr>
        <w:t xml:space="preserve">元。与2023年度相比，财政拨款收、支总计各</w:t>
      </w:r>
      <w:r>
        <w:rPr>
          <w:rFonts w:eastAsia="仿宋_GB2312" w:hint="eastAsia"/>
          <w:sz w:val="30"/>
          <w:szCs w:val="30"/>
        </w:rPr>
        <w:t xml:space="preserve">增加1,900,000.00元，</w:t>
      </w:r>
      <w:r>
        <w:rPr>
          <w:rFonts w:eastAsia="仿宋_GB2312" w:hint="eastAsia"/>
          <w:sz w:val="30"/>
          <w:szCs w:val="30"/>
        </w:rPr>
        <w:t xml:space="preserve">主要原因是</w:t>
      </w:r>
      <w:r>
        <w:rPr>
          <w:rFonts w:eastAsia="仿宋_GB2312" w:hint="eastAsia"/>
          <w:sz w:val="30"/>
          <w:szCs w:val="30"/>
        </w:rPr>
        <w:t xml:space="preserve">天津市工业和信息化研究院为新纳入部门预算单位</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一般公共预算财政拨款1,900,000.00元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资源勘探工业信息等支出1,900,000.00元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天津市工业和信息化研究院2024年度部门决算一般公共预算财政拨款支出合计1,900,000.00元，占本年支出合计的4.370%。与2023年度相比，一般公共预算财政拨款支出</w:t>
      </w:r>
      <w:r>
        <w:rPr>
          <w:rFonts w:eastAsia="仿宋_GB2312" w:hint="eastAsia"/>
          <w:sz w:val="30"/>
          <w:szCs w:val="30"/>
        </w:rPr>
        <w:t xml:space="preserve">增加1,900,000.00元</w:t>
      </w:r>
      <w:r>
        <w:rPr>
          <w:rFonts w:eastAsia="仿宋_GB2312" w:hint="eastAsia"/>
          <w:sz w:val="30"/>
          <w:szCs w:val="30"/>
        </w:rPr>
        <w:t xml:space="preserve">，增长0.000%</w:t>
      </w:r>
      <w:r>
        <w:rPr>
          <w:rFonts w:eastAsia="仿宋_GB2312" w:hint="eastAsia"/>
          <w:sz w:val="30"/>
          <w:szCs w:val="30"/>
        </w:rPr>
        <w:t xml:space="preserve">，主要原因是天津市工业和信息化研究院为新纳入部门预算单位。</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2024年度一般公共预算财政拨款支出1,900,000.00元，主要用于以下方面：</w:t>
      </w:r>
      <w:r>
        <w:rPr>
          <w:rFonts w:eastAsia="仿宋_GB2312" w:hint="eastAsia"/>
          <w:sz w:val="30"/>
          <w:szCs w:val="30"/>
        </w:rPr>
        <w:t xml:space="preserve">资源勘探工业信息等支出（类）支出1,900,000.00元，占100.000%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2024年度一般公共预算财政拨款支出年初预算为1,900,000.00元，支出决算为1,900,000.00元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资源勘探工业信息等支出（类）工业和信息产业监管（款）其他工业和信息产业监管支出（项）年初预算为1,900,000.00元，支出决算为1,900,000.00元，完成年初预算的100.000%，决算数与预算数持平的主要原因是：本年严格按照预算执行，据实列支项目经费。</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天津市工业和信息化研究院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本年度未用财政拨款经费列支基本支出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57358551"/>
      <w:bookmarkStart w:id="72" w:name="_Toc1070516966"/>
      <w:bookmarkStart w:id="73" w:name="_Toc568131460"/>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天津市工业和信息化研究院2024年度无政府性基金预算财政拨款收入、支出和结转结余。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天津市工业和信息化研究院2024年度无国有资本经营预算财政拨款收入、支出和结转结余。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884144383"/>
      <w:bookmarkStart w:id="81" w:name="_Toc1337770055"/>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决算数与预算数持平的主要原因是本年度未用财政拨款经费列支公务用车购置费及运行维护费；</w:t>
      </w:r>
      <w:r>
        <w:rPr>
          <w:rFonts w:eastAsia="仿宋_GB2312" w:hint="eastAsia"/>
          <w:sz w:val="30"/>
          <w:szCs w:val="30"/>
        </w:rPr>
        <w:t xml:space="preserve">决算数较上年持平的主要原因是本年度未用财政拨款经费列支公务用车购置费及运行维护费。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20786419"/>
      <w:bookmarkStart w:id="90" w:name="_Toc1349690397"/>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天津市工业和信息化研究院2024年度无机关运行经费。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464993319"/>
      <w:bookmarkStart w:id="94" w:name="_Toc169354537"/>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工业和信息化研究院2024年政府采购支出总额853,706.00元，其中：政府采购货物支出0.00元、政府采购工程支出0.00元、政府采购服务支出853,706.00元。授予中小企业合同金额0.00元，占政府采购支出总额的0.000%，其中：授予小微企业合同金额0.00元，占政府采购支出总额的0.000%；货物采购授予中小企业合同金额占货物支出金额的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072564870"/>
      <w:bookmarkStart w:id="97" w:name="_Toc925871084"/>
      <w:bookmarkStart w:id="98" w:name="_Toc1242699578"/>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截至2024年12月31日，天津市工业和信息化研究院共有车辆3辆</w:t>
      </w:r>
      <w:r>
        <w:rPr>
          <w:rFonts w:eastAsia="仿宋_GB2312" w:hint="eastAsia"/>
          <w:sz w:val="30"/>
          <w:szCs w:val="30"/>
        </w:rPr>
        <w:t xml:space="preserve">，其中：</w:t>
      </w:r>
      <w:r>
        <w:rPr>
          <w:rFonts w:eastAsia="仿宋_GB2312" w:hint="eastAsia"/>
          <w:sz w:val="30"/>
          <w:szCs w:val="30"/>
        </w:rPr>
        <w:t xml:space="preserve">其他用车3辆</w:t>
      </w:r>
      <w:r>
        <w:rPr>
          <w:rFonts w:eastAsia="仿宋_GB2312" w:hint="eastAsia"/>
          <w:sz w:val="30"/>
          <w:szCs w:val="30"/>
        </w:rPr>
        <w:t xml:space="preserve">，其他用车主要包括普通办公用车</w:t>
      </w:r>
      <w:r>
        <w:rPr>
          <w:rFonts w:eastAsia="仿宋_GB2312" w:hint="eastAsia"/>
          <w:sz w:val="30"/>
          <w:szCs w:val="30"/>
        </w:rPr>
        <w:t xml:space="preserve">。单价100万元以上的设备21台（套）。</w:t>
      </w:r>
    </w:p>
    <w:p>
      <w:pPr>
        <w:pStyle w:val="Heading2"/>
        <w:spacing w:before="0" w:after="0" w:line="600" w:lineRule="exact"/>
        <w:ind w:firstLine="600" w:firstLineChars="200"/>
        <w:rPr>
          <w:rFonts w:ascii="黑体" w:eastAsia="黑体" w:hAnsi="黑体" w:cs="仿宋_GB2312"/>
          <w:sz w:val="30"/>
          <w:szCs w:val="30"/>
        </w:rPr>
      </w:pPr>
      <w:bookmarkStart w:id="100" w:name="_Toc448802626"/>
      <w:bookmarkStart w:id="101" w:name="_Toc1773340371"/>
      <w:bookmarkStart w:id="102" w:name="_Toc1805544570"/>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根据预算绩效管理要求，天津市工业和信息化研究院已对1个2024年度市级项目开展绩效自评，涉及金额1,900,000.00元，自评结果已随部门决算一并公开。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1843655880"/>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天津市工业和信息化研究院不属于乡、镇、街级单位，不涉及公开2024年度教育、医疗卫生、社会保障和就业、住房保障、涉农补贴等民生支出情况。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eader" Target="header3.xml" /><Relationship Id="rId4" Type="http://schemas.openxmlformats.org/officeDocument/2006/relationships/customXml" Target="../customXml/item4.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oter" Target="footer5.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fontTable" Target="fontTable.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6.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3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5.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05a781-7fa6-463e-aa16-b44e334a684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9A986101-A5D4-42F8-9BD2-ED831C27E849}">
  <ds:schemaRefs/>
</ds:datastoreItem>
</file>

<file path=customXml/itemProps13.xml><?xml version="1.0" encoding="utf-8"?>
<ds:datastoreItem xmlns:ds="http://schemas.openxmlformats.org/officeDocument/2006/customXml" ds:itemID="{093F2D8C-60D1-42DB-8DB8-50630DD737DE}">
  <ds:schemaRefs/>
</ds:datastoreItem>
</file>

<file path=customXml/itemProps14.xml><?xml version="1.0" encoding="utf-8"?>
<ds:datastoreItem xmlns:ds="http://schemas.openxmlformats.org/officeDocument/2006/customXml" ds:itemID="{f9b6d9fb-db02-45d0-914f-6307dcbc8ddf}">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4da27b4d-7294-4eef-84e1-5056d008dd14}">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8445723E-1C18-4162-BEE5-0642E591AE1D}">
  <ds:schemaRefs/>
</ds:datastoreItem>
</file>

<file path=customXml/itemProps21.xml><?xml version="1.0" encoding="utf-8"?>
<ds:datastoreItem xmlns:ds="http://schemas.openxmlformats.org/officeDocument/2006/customXml" ds:itemID="{696F2980-23D8-403F-A1D5-FC1C8D10704C}">
  <ds:schemaRefs/>
</ds:datastoreItem>
</file>

<file path=customXml/itemProps22.xml><?xml version="1.0" encoding="utf-8"?>
<ds:datastoreItem xmlns:ds="http://schemas.openxmlformats.org/officeDocument/2006/customXml" ds:itemID="{b2e73313-28f3-48b9-bd4c-4f0a0c1ba7b9}">
  <ds:schemaRefs/>
</ds:datastoreItem>
</file>

<file path=customXml/itemProps23.xml><?xml version="1.0" encoding="utf-8"?>
<ds:datastoreItem xmlns:ds="http://schemas.openxmlformats.org/officeDocument/2006/customXml" ds:itemID="{A1C04600-05AE-494A-A77E-2766C36D7927}">
  <ds:schemaRefs/>
</ds:datastoreItem>
</file>

<file path=customXml/itemProps24.xml><?xml version="1.0" encoding="utf-8"?>
<ds:datastoreItem xmlns:ds="http://schemas.openxmlformats.org/officeDocument/2006/customXml" ds:itemID="{b5ac8786-ba30-489b-b216-b3dcf469bc22}">
  <ds:schemaRefs/>
</ds:datastoreItem>
</file>

<file path=customXml/itemProps25.xml><?xml version="1.0" encoding="utf-8"?>
<ds:datastoreItem xmlns:ds="http://schemas.openxmlformats.org/officeDocument/2006/customXml" ds:itemID="{669241cf-41a7-4d66-a542-586e72629852}">
  <ds:schemaRefs/>
</ds:datastoreItem>
</file>

<file path=customXml/itemProps26.xml><?xml version="1.0" encoding="utf-8"?>
<ds:datastoreItem xmlns:ds="http://schemas.openxmlformats.org/officeDocument/2006/customXml" ds:itemID="{17f99eb5-5d16-408b-8bd2-6155c5f3c94b}">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68CD3A8F-9C94-403B-AEAA-050E2144B593}">
  <ds:schemaRefs/>
</ds:datastoreItem>
</file>

<file path=customXml/itemProps3.xml><?xml version="1.0" encoding="utf-8"?>
<ds:datastoreItem xmlns:ds="http://schemas.openxmlformats.org/officeDocument/2006/customXml" ds:itemID="{52C2F3B5-2FED-4CF7-BADE-85673CCA97A7}">
  <ds:schemaRefs/>
</ds:datastoreItem>
</file>

<file path=customXml/itemProps30.xml><?xml version="1.0" encoding="utf-8"?>
<ds:datastoreItem xmlns:ds="http://schemas.openxmlformats.org/officeDocument/2006/customXml" ds:itemID="{eb059b2d-f202-4c40-92b1-96e8fd6cf333}">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C3AB585A-6BA2-4FC7-BE37-D151DAAAB6C4}">
  <ds:schemaRefs/>
</ds:datastoreItem>
</file>

<file path=customXml/itemProps33.xml><?xml version="1.0" encoding="utf-8"?>
<ds:datastoreItem xmlns:ds="http://schemas.openxmlformats.org/officeDocument/2006/customXml" ds:itemID="{217734FF-E389-4970-B253-703D7FC180DD}">
  <ds:schemaRefs/>
</ds:datastoreItem>
</file>

<file path=customXml/itemProps34.xml><?xml version="1.0" encoding="utf-8"?>
<ds:datastoreItem xmlns:ds="http://schemas.openxmlformats.org/officeDocument/2006/customXml" ds:itemID="{29C29699-4F72-40F4-B55A-008B4CA23939}">
  <ds:schemaRefs/>
</ds:datastoreItem>
</file>

<file path=customXml/itemProps35.xml><?xml version="1.0" encoding="utf-8"?>
<ds:datastoreItem xmlns:ds="http://schemas.openxmlformats.org/officeDocument/2006/customXml" ds:itemID="{8B3B8D83-7812-4532-AAD4-C9247D36013A}">
  <ds:schemaRefs/>
</ds:datastoreItem>
</file>

<file path=customXml/itemProps36.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addefca4-0d51-4184-a5d3-0693506862e8}">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d05a50d9-e996-4bfc-bd33-37d099531a3f}">
  <ds:schemaRefs/>
</ds:datastoreItem>
</file>

<file path=customXml/itemProps9.xml><?xml version="1.0" encoding="utf-8"?>
<ds:datastoreItem xmlns:ds="http://schemas.openxmlformats.org/officeDocument/2006/customXml" ds:itemID="{c4f510e5-aa9b-4a7c-9d06-6c3409092b5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55</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2025-07-08T11:27:00Z</cp:lastPrinted>
  <dcterms:created xsi:type="dcterms:W3CDTF">2019-08-11T02:37:00Z</dcterms:created>
  <dcterms:modified xsi:type="dcterms:W3CDTF">2025-09-10T16:32:08Z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