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天津市化工建筑安装工程质量监督站</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天津市化工建筑安装工程质量监督站</w:t>
      </w:r>
      <w:r>
        <w:rPr>
          <w:rFonts w:ascii="仿宋_GB2312" w:eastAsia="仿宋_GB2312" w:hint="eastAsia"/>
          <w:sz w:val="30"/>
          <w:szCs w:val="30"/>
        </w:rPr>
        <w:t xml:space="preserve">的主要职责是：</w:t>
      </w:r>
      <w:r>
        <w:rPr>
          <w:rFonts w:ascii="仿宋_GB2312" w:eastAsia="仿宋_GB2312" w:hint="eastAsia"/>
          <w:sz w:val="30"/>
          <w:szCs w:val="30"/>
        </w:rPr>
        <w:t xml:space="preserve">在天津市工业和信息化局领导下，在化学工业工程质量监督总站的业务指导下，同时受相关建设行政主管部门的委托和分配，以国家、化工及地方建设工程质量管理的法律、法规、施工规范、技术标准及强制性条文为依据，主要负责对化工建筑安装工程参建各方责任主体的质量行为进行监督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天津市化工建筑安装工程质量监督站内设三个部门： 设备安装质量监督室、土建质量监督室、综合办公室</w:t>
      </w:r>
      <w:r>
        <w:rPr>
          <w:rFonts w:ascii="仿宋_GB2312" w:eastAsia="仿宋_GB2312" w:hint="eastAsia"/>
          <w:sz w:val="30"/>
          <w:szCs w:val="30"/>
        </w:rPr>
        <w:t xml:space="preserve">；纳入</w:t>
      </w:r>
      <w:r>
        <w:rPr>
          <w:rFonts w:ascii="仿宋_GB2312" w:eastAsia="仿宋_GB2312" w:hint="eastAsia"/>
          <w:sz w:val="30"/>
          <w:szCs w:val="30"/>
        </w:rPr>
        <w:t xml:space="preserve">天津市化工建筑安装工程质量监督站</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天津市化工建筑安装工程质量监督站</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2,628,785.54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221,774.40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90,126.00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2,031,885.14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285,000.00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2,628,835.54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2,628,785.54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2,628,835.54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2,628,835.54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2,628,835.54</w:t>
            </w:r>
          </w:p>
        </w:tc>
        <w:tc>
          <w:tcPr>
            <w:tcW w:w="1240" w:type="dxa"/>
            <w:tcBorders/>
            <w:vAlign w:val="center"/>
          </w:tcPr>
          <w:p>
            <w:pPr>
              <w:snapToGrid w:val="0"/>
              <w:jc w:val="right"/>
            </w:pPr>
            <w:r>
              <w:rPr>
                <w:rFonts w:ascii="宋体" w:eastAsia="宋体" w:hAnsi="宋体" w:cs="宋体"/>
                <w:b w:val="0"/>
                <w:i w:val="0"/>
                <w:color w:val="000000"/>
                <w:sz w:val="14"/>
              </w:rPr>
              <w:t xml:space="preserve">2,628,785.54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221,774.40</w:t>
            </w:r>
          </w:p>
        </w:tc>
        <w:tc>
          <w:tcPr>
            <w:tcW w:w="1240" w:type="dxa"/>
            <w:tcBorders/>
            <w:vAlign w:val="center"/>
          </w:tcPr>
          <w:p>
            <w:pPr>
              <w:snapToGrid w:val="0"/>
              <w:jc w:val="right"/>
            </w:pPr>
            <w:r>
              <w:rPr>
                <w:rFonts w:ascii="宋体" w:eastAsia="宋体" w:hAnsi="宋体" w:cs="宋体"/>
                <w:b w:val="0"/>
                <w:i w:val="0"/>
                <w:color w:val="000000"/>
                <w:sz w:val="14"/>
              </w:rPr>
              <w:t xml:space="preserve">221,774.40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221,774.40</w:t>
            </w:r>
          </w:p>
        </w:tc>
        <w:tc>
          <w:tcPr>
            <w:tcW w:w="1240" w:type="dxa"/>
            <w:tcBorders/>
            <w:vAlign w:val="center"/>
          </w:tcPr>
          <w:p>
            <w:pPr>
              <w:snapToGrid w:val="0"/>
              <w:jc w:val="right"/>
            </w:pPr>
            <w:r>
              <w:rPr>
                <w:rFonts w:ascii="宋体" w:eastAsia="宋体" w:hAnsi="宋体" w:cs="宋体"/>
                <w:b w:val="0"/>
                <w:i w:val="0"/>
                <w:color w:val="000000"/>
                <w:sz w:val="14"/>
              </w:rPr>
              <w:t xml:space="preserve">221,774.40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147,849.60</w:t>
            </w:r>
          </w:p>
        </w:tc>
        <w:tc>
          <w:tcPr>
            <w:tcW w:w="1240" w:type="dxa"/>
            <w:tcBorders/>
            <w:vAlign w:val="center"/>
          </w:tcPr>
          <w:p>
            <w:pPr>
              <w:snapToGrid w:val="0"/>
              <w:jc w:val="right"/>
            </w:pPr>
            <w:r>
              <w:rPr>
                <w:rFonts w:ascii="宋体" w:eastAsia="宋体" w:hAnsi="宋体" w:cs="宋体"/>
                <w:b w:val="0"/>
                <w:i w:val="0"/>
                <w:color w:val="000000"/>
                <w:sz w:val="14"/>
              </w:rPr>
              <w:t xml:space="preserve">147,849.60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73,924.80</w:t>
            </w:r>
          </w:p>
        </w:tc>
        <w:tc>
          <w:tcPr>
            <w:tcW w:w="1240" w:type="dxa"/>
            <w:tcBorders/>
            <w:vAlign w:val="center"/>
          </w:tcPr>
          <w:p>
            <w:pPr>
              <w:snapToGrid w:val="0"/>
              <w:jc w:val="right"/>
            </w:pPr>
            <w:r>
              <w:rPr>
                <w:rFonts w:ascii="宋体" w:eastAsia="宋体" w:hAnsi="宋体" w:cs="宋体"/>
                <w:b w:val="0"/>
                <w:i w:val="0"/>
                <w:color w:val="000000"/>
                <w:sz w:val="14"/>
              </w:rPr>
              <w:t xml:space="preserve">73,924.80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90,126.00</w:t>
            </w:r>
          </w:p>
        </w:tc>
        <w:tc>
          <w:tcPr>
            <w:tcW w:w="1240" w:type="dxa"/>
            <w:tcBorders/>
            <w:vAlign w:val="center"/>
          </w:tcPr>
          <w:p>
            <w:pPr>
              <w:snapToGrid w:val="0"/>
              <w:jc w:val="right"/>
            </w:pPr>
            <w:r>
              <w:rPr>
                <w:rFonts w:ascii="宋体" w:eastAsia="宋体" w:hAnsi="宋体" w:cs="宋体"/>
                <w:b w:val="0"/>
                <w:i w:val="0"/>
                <w:color w:val="000000"/>
                <w:sz w:val="14"/>
              </w:rPr>
              <w:t xml:space="preserve">90,126.00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90,126.00</w:t>
            </w:r>
          </w:p>
        </w:tc>
        <w:tc>
          <w:tcPr>
            <w:tcW w:w="1240" w:type="dxa"/>
            <w:tcBorders/>
            <w:vAlign w:val="center"/>
          </w:tcPr>
          <w:p>
            <w:pPr>
              <w:snapToGrid w:val="0"/>
              <w:jc w:val="right"/>
            </w:pPr>
            <w:r>
              <w:rPr>
                <w:rFonts w:ascii="宋体" w:eastAsia="宋体" w:hAnsi="宋体" w:cs="宋体"/>
                <w:b w:val="0"/>
                <w:i w:val="0"/>
                <w:color w:val="000000"/>
                <w:sz w:val="14"/>
              </w:rPr>
              <w:t xml:space="preserve">90,126.00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90,126.00</w:t>
            </w:r>
          </w:p>
        </w:tc>
        <w:tc>
          <w:tcPr>
            <w:tcW w:w="1240" w:type="dxa"/>
            <w:tcBorders/>
            <w:vAlign w:val="center"/>
          </w:tcPr>
          <w:p>
            <w:pPr>
              <w:snapToGrid w:val="0"/>
              <w:jc w:val="right"/>
            </w:pPr>
            <w:r>
              <w:rPr>
                <w:rFonts w:ascii="宋体" w:eastAsia="宋体" w:hAnsi="宋体" w:cs="宋体"/>
                <w:b w:val="0"/>
                <w:i w:val="0"/>
                <w:color w:val="000000"/>
                <w:sz w:val="14"/>
              </w:rPr>
              <w:t xml:space="preserve">90,126.00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2120601</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2,628,785.54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322202</w:t>
            </w:r>
          </w:p>
        </w:tc>
        <w:tc>
          <w:tcPr>
            <w:tcW w:w="1520" w:type="dxa"/>
            <w:tcBorders/>
            <w:vAlign w:val="center"/>
          </w:tcPr>
          <w:p>
            <w:pPr>
              <w:snapToGrid w:val="0"/>
              <w:jc w:val="center"/>
            </w:pPr>
            <w:r>
              <w:rPr>
                <w:rFonts w:ascii="宋体" w:eastAsia="宋体" w:hAnsi="宋体" w:cs="宋体"/>
                <w:b w:val="0"/>
                <w:i w:val="0"/>
                <w:color w:val="000000"/>
                <w:sz w:val="9"/>
              </w:rPr>
              <w:t xml:space="preserve">天津市化工建筑安装工程质量监督站</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2,628,785.54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2,628,785.54</w:t>
            </w:r>
          </w:p>
        </w:tc>
        <w:tc>
          <w:tcPr>
            <w:tcW w:w="1320" w:type="dxa"/>
            <w:tcBorders/>
            <w:vAlign w:val="center"/>
          </w:tcPr>
          <w:p>
            <w:pPr>
              <w:snapToGrid w:val="0"/>
              <w:jc w:val="right"/>
            </w:pPr>
            <w:r>
              <w:rPr>
                <w:rFonts w:ascii="宋体" w:eastAsia="宋体" w:hAnsi="宋体" w:cs="宋体"/>
                <w:b w:val="0"/>
                <w:i w:val="0"/>
                <w:color w:val="000000"/>
                <w:sz w:val="15"/>
              </w:rPr>
              <w:t xml:space="preserve">2,343,785.54</w:t>
            </w: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221,774.40</w:t>
            </w:r>
          </w:p>
        </w:tc>
        <w:tc>
          <w:tcPr>
            <w:tcW w:w="1320" w:type="dxa"/>
            <w:tcBorders/>
            <w:vAlign w:val="center"/>
          </w:tcPr>
          <w:p>
            <w:pPr>
              <w:snapToGrid w:val="0"/>
              <w:jc w:val="right"/>
            </w:pPr>
            <w:r>
              <w:rPr>
                <w:rFonts w:ascii="宋体" w:eastAsia="宋体" w:hAnsi="宋体" w:cs="宋体"/>
                <w:b w:val="0"/>
                <w:i w:val="0"/>
                <w:color w:val="000000"/>
                <w:sz w:val="15"/>
              </w:rPr>
              <w:t xml:space="preserve">221,774.40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221,774.40</w:t>
            </w:r>
          </w:p>
        </w:tc>
        <w:tc>
          <w:tcPr>
            <w:tcW w:w="1320" w:type="dxa"/>
            <w:tcBorders/>
            <w:vAlign w:val="center"/>
          </w:tcPr>
          <w:p>
            <w:pPr>
              <w:snapToGrid w:val="0"/>
              <w:jc w:val="right"/>
            </w:pPr>
            <w:r>
              <w:rPr>
                <w:rFonts w:ascii="宋体" w:eastAsia="宋体" w:hAnsi="宋体" w:cs="宋体"/>
                <w:b w:val="0"/>
                <w:i w:val="0"/>
                <w:color w:val="000000"/>
                <w:sz w:val="15"/>
              </w:rPr>
              <w:t xml:space="preserve">221,774.40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147,849.60</w:t>
            </w:r>
          </w:p>
        </w:tc>
        <w:tc>
          <w:tcPr>
            <w:tcW w:w="1320" w:type="dxa"/>
            <w:tcBorders/>
            <w:vAlign w:val="center"/>
          </w:tcPr>
          <w:p>
            <w:pPr>
              <w:snapToGrid w:val="0"/>
              <w:jc w:val="right"/>
            </w:pPr>
            <w:r>
              <w:rPr>
                <w:rFonts w:ascii="宋体" w:eastAsia="宋体" w:hAnsi="宋体" w:cs="宋体"/>
                <w:b w:val="0"/>
                <w:i w:val="0"/>
                <w:color w:val="000000"/>
                <w:sz w:val="15"/>
              </w:rPr>
              <w:t xml:space="preserve">147,849.60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73,924.80</w:t>
            </w:r>
          </w:p>
        </w:tc>
        <w:tc>
          <w:tcPr>
            <w:tcW w:w="1320" w:type="dxa"/>
            <w:tcBorders/>
            <w:vAlign w:val="center"/>
          </w:tcPr>
          <w:p>
            <w:pPr>
              <w:snapToGrid w:val="0"/>
              <w:jc w:val="right"/>
            </w:pPr>
            <w:r>
              <w:rPr>
                <w:rFonts w:ascii="宋体" w:eastAsia="宋体" w:hAnsi="宋体" w:cs="宋体"/>
                <w:b w:val="0"/>
                <w:i w:val="0"/>
                <w:color w:val="000000"/>
                <w:sz w:val="15"/>
              </w:rPr>
              <w:t xml:space="preserve">73,924.80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90,126.00</w:t>
            </w:r>
          </w:p>
        </w:tc>
        <w:tc>
          <w:tcPr>
            <w:tcW w:w="1320" w:type="dxa"/>
            <w:tcBorders/>
            <w:vAlign w:val="center"/>
          </w:tcPr>
          <w:p>
            <w:pPr>
              <w:snapToGrid w:val="0"/>
              <w:jc w:val="right"/>
            </w:pPr>
            <w:r>
              <w:rPr>
                <w:rFonts w:ascii="宋体" w:eastAsia="宋体" w:hAnsi="宋体" w:cs="宋体"/>
                <w:b w:val="0"/>
                <w:i w:val="0"/>
                <w:color w:val="000000"/>
                <w:sz w:val="15"/>
              </w:rPr>
              <w:t xml:space="preserve">90,126.00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90,126.00</w:t>
            </w:r>
          </w:p>
        </w:tc>
        <w:tc>
          <w:tcPr>
            <w:tcW w:w="1320" w:type="dxa"/>
            <w:tcBorders/>
            <w:vAlign w:val="center"/>
          </w:tcPr>
          <w:p>
            <w:pPr>
              <w:snapToGrid w:val="0"/>
              <w:jc w:val="right"/>
            </w:pPr>
            <w:r>
              <w:rPr>
                <w:rFonts w:ascii="宋体" w:eastAsia="宋体" w:hAnsi="宋体" w:cs="宋体"/>
                <w:b w:val="0"/>
                <w:i w:val="0"/>
                <w:color w:val="000000"/>
                <w:sz w:val="15"/>
              </w:rPr>
              <w:t xml:space="preserve">90,126.00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90,126.00</w:t>
            </w:r>
          </w:p>
        </w:tc>
        <w:tc>
          <w:tcPr>
            <w:tcW w:w="1320" w:type="dxa"/>
            <w:tcBorders/>
            <w:vAlign w:val="center"/>
          </w:tcPr>
          <w:p>
            <w:pPr>
              <w:snapToGrid w:val="0"/>
              <w:jc w:val="right"/>
            </w:pPr>
            <w:r>
              <w:rPr>
                <w:rFonts w:ascii="宋体" w:eastAsia="宋体" w:hAnsi="宋体" w:cs="宋体"/>
                <w:b w:val="0"/>
                <w:i w:val="0"/>
                <w:color w:val="000000"/>
                <w:sz w:val="15"/>
              </w:rPr>
              <w:t xml:space="preserve">90,126.00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2120601</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221,774.40</w:t>
            </w:r>
          </w:p>
        </w:tc>
        <w:tc>
          <w:tcPr>
            <w:tcW w:w="1420" w:type="dxa"/>
            <w:tcBorders/>
            <w:vAlign w:val="center"/>
          </w:tcPr>
          <w:p>
            <w:pPr>
              <w:snapToGrid w:val="0"/>
              <w:jc w:val="right"/>
            </w:pPr>
            <w:r>
              <w:rPr>
                <w:rFonts w:ascii="宋体" w:eastAsia="宋体" w:hAnsi="宋体" w:cs="宋体"/>
                <w:b w:val="0"/>
                <w:i w:val="0"/>
                <w:color w:val="000000"/>
                <w:sz w:val="16"/>
              </w:rPr>
              <w:t xml:space="preserve">221,774.40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90,126.00</w:t>
            </w:r>
          </w:p>
        </w:tc>
        <w:tc>
          <w:tcPr>
            <w:tcW w:w="1420" w:type="dxa"/>
            <w:tcBorders/>
            <w:vAlign w:val="center"/>
          </w:tcPr>
          <w:p>
            <w:pPr>
              <w:snapToGrid w:val="0"/>
              <w:jc w:val="right"/>
            </w:pPr>
            <w:r>
              <w:rPr>
                <w:rFonts w:ascii="宋体" w:eastAsia="宋体" w:hAnsi="宋体" w:cs="宋体"/>
                <w:b w:val="0"/>
                <w:i w:val="0"/>
                <w:color w:val="000000"/>
                <w:sz w:val="16"/>
              </w:rPr>
              <w:t xml:space="preserve">90,126.00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2,031,885.14</w:t>
            </w:r>
          </w:p>
        </w:tc>
        <w:tc>
          <w:tcPr>
            <w:tcW w:w="1420" w:type="dxa"/>
            <w:tcBorders/>
            <w:vAlign w:val="center"/>
          </w:tcPr>
          <w:p>
            <w:pPr>
              <w:snapToGrid w:val="0"/>
              <w:jc w:val="right"/>
            </w:pPr>
            <w:r>
              <w:rPr>
                <w:rFonts w:ascii="宋体" w:eastAsia="宋体" w:hAnsi="宋体" w:cs="宋体"/>
                <w:b w:val="0"/>
                <w:i w:val="0"/>
                <w:color w:val="000000"/>
                <w:sz w:val="16"/>
              </w:rPr>
              <w:t xml:space="preserve">2,031,885.14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285,000.00</w:t>
            </w:r>
          </w:p>
        </w:tc>
        <w:tc>
          <w:tcPr>
            <w:tcW w:w="1420" w:type="dxa"/>
            <w:tcBorders/>
            <w:vAlign w:val="center"/>
          </w:tcPr>
          <w:p>
            <w:pPr>
              <w:snapToGrid w:val="0"/>
              <w:jc w:val="right"/>
            </w:pPr>
            <w:r>
              <w:rPr>
                <w:rFonts w:ascii="宋体" w:eastAsia="宋体" w:hAnsi="宋体" w:cs="宋体"/>
                <w:b w:val="0"/>
                <w:i w:val="0"/>
                <w:color w:val="000000"/>
                <w:sz w:val="16"/>
              </w:rPr>
              <w:t xml:space="preserve">285,000.00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1420" w:type="dxa"/>
            <w:tcBorders/>
            <w:vAlign w:val="center"/>
          </w:tcPr>
          <w:p>
            <w:pPr>
              <w:snapToGrid w:val="0"/>
              <w:jc w:val="right"/>
            </w:pPr>
            <w:r>
              <w:rPr>
                <w:rFonts w:ascii="宋体" w:eastAsia="宋体" w:hAnsi="宋体" w:cs="宋体"/>
                <w:b w:val="0"/>
                <w:i w:val="0"/>
                <w:color w:val="000000"/>
                <w:sz w:val="16"/>
              </w:rPr>
              <w:t xml:space="preserve">2,628,785.54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2,628,785.54</w:t>
            </w:r>
          </w:p>
        </w:tc>
        <w:tc>
          <w:tcPr>
            <w:tcW w:w="1720" w:type="dxa"/>
            <w:tcBorders/>
            <w:vAlign w:val="center"/>
          </w:tcPr>
          <w:p>
            <w:pPr>
              <w:snapToGrid w:val="0"/>
              <w:jc w:val="right"/>
            </w:pPr>
            <w:r>
              <w:rPr>
                <w:rFonts w:ascii="宋体" w:eastAsia="宋体" w:hAnsi="宋体" w:cs="宋体"/>
                <w:b w:val="0"/>
                <w:i w:val="0"/>
                <w:color w:val="000000"/>
                <w:sz w:val="20"/>
              </w:rPr>
              <w:t xml:space="preserve">2,343,785.54</w:t>
            </w:r>
          </w:p>
        </w:tc>
        <w:tc>
          <w:tcPr>
            <w:tcW w:w="1720" w:type="dxa"/>
            <w:tcBorders/>
            <w:vAlign w:val="center"/>
          </w:tcPr>
          <w:p>
            <w:pPr>
              <w:snapToGrid w:val="0"/>
              <w:jc w:val="right"/>
            </w:pPr>
            <w:r>
              <w:rPr>
                <w:rFonts w:ascii="宋体" w:eastAsia="宋体" w:hAnsi="宋体" w:cs="宋体"/>
                <w:b w:val="0"/>
                <w:i w:val="0"/>
                <w:color w:val="000000"/>
                <w:sz w:val="20"/>
              </w:rPr>
              <w:t xml:space="preserve">2,151,515.68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snapToGrid w:val="0"/>
              <w:jc w:val="right"/>
            </w:pPr>
            <w:r>
              <w:rPr>
                <w:rFonts w:ascii="宋体" w:eastAsia="宋体" w:hAnsi="宋体" w:cs="宋体"/>
                <w:b w:val="0"/>
                <w:i w:val="0"/>
                <w:color w:val="000000"/>
                <w:sz w:val="20"/>
              </w:rPr>
              <w:t xml:space="preserve">285,000.00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221,774.40</w:t>
            </w:r>
          </w:p>
        </w:tc>
        <w:tc>
          <w:tcPr>
            <w:tcW w:w="1720" w:type="dxa"/>
            <w:tcBorders/>
            <w:vAlign w:val="center"/>
          </w:tcPr>
          <w:p>
            <w:pPr>
              <w:snapToGrid w:val="0"/>
              <w:jc w:val="right"/>
            </w:pPr>
            <w:r>
              <w:rPr>
                <w:rFonts w:ascii="宋体" w:eastAsia="宋体" w:hAnsi="宋体" w:cs="宋体"/>
                <w:b w:val="0"/>
                <w:i w:val="0"/>
                <w:color w:val="000000"/>
                <w:sz w:val="20"/>
              </w:rPr>
              <w:t xml:space="preserve">221,774.40</w:t>
            </w:r>
          </w:p>
        </w:tc>
        <w:tc>
          <w:tcPr>
            <w:tcW w:w="1720" w:type="dxa"/>
            <w:tcBorders/>
            <w:vAlign w:val="center"/>
          </w:tcPr>
          <w:p>
            <w:pPr>
              <w:snapToGrid w:val="0"/>
              <w:jc w:val="right"/>
            </w:pPr>
            <w:r>
              <w:rPr>
                <w:rFonts w:ascii="宋体" w:eastAsia="宋体" w:hAnsi="宋体" w:cs="宋体"/>
                <w:b w:val="0"/>
                <w:i w:val="0"/>
                <w:color w:val="000000"/>
                <w:sz w:val="20"/>
              </w:rPr>
              <w:t xml:space="preserve">221,774.40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221,774.40</w:t>
            </w:r>
          </w:p>
        </w:tc>
        <w:tc>
          <w:tcPr>
            <w:tcW w:w="1720" w:type="dxa"/>
            <w:tcBorders/>
            <w:vAlign w:val="center"/>
          </w:tcPr>
          <w:p>
            <w:pPr>
              <w:snapToGrid w:val="0"/>
              <w:jc w:val="right"/>
            </w:pPr>
            <w:r>
              <w:rPr>
                <w:rFonts w:ascii="宋体" w:eastAsia="宋体" w:hAnsi="宋体" w:cs="宋体"/>
                <w:b w:val="0"/>
                <w:i w:val="0"/>
                <w:color w:val="000000"/>
                <w:sz w:val="20"/>
              </w:rPr>
              <w:t xml:space="preserve">221,774.40</w:t>
            </w:r>
          </w:p>
        </w:tc>
        <w:tc>
          <w:tcPr>
            <w:tcW w:w="1720" w:type="dxa"/>
            <w:tcBorders/>
            <w:vAlign w:val="center"/>
          </w:tcPr>
          <w:p>
            <w:pPr>
              <w:snapToGrid w:val="0"/>
              <w:jc w:val="right"/>
            </w:pPr>
            <w:r>
              <w:rPr>
                <w:rFonts w:ascii="宋体" w:eastAsia="宋体" w:hAnsi="宋体" w:cs="宋体"/>
                <w:b w:val="0"/>
                <w:i w:val="0"/>
                <w:color w:val="000000"/>
                <w:sz w:val="20"/>
              </w:rPr>
              <w:t xml:space="preserve">221,774.40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147,849.60</w:t>
            </w:r>
          </w:p>
        </w:tc>
        <w:tc>
          <w:tcPr>
            <w:tcW w:w="1720" w:type="dxa"/>
            <w:tcBorders/>
            <w:vAlign w:val="center"/>
          </w:tcPr>
          <w:p>
            <w:pPr>
              <w:snapToGrid w:val="0"/>
              <w:jc w:val="right"/>
            </w:pPr>
            <w:r>
              <w:rPr>
                <w:rFonts w:ascii="宋体" w:eastAsia="宋体" w:hAnsi="宋体" w:cs="宋体"/>
                <w:b w:val="0"/>
                <w:i w:val="0"/>
                <w:color w:val="000000"/>
                <w:sz w:val="20"/>
              </w:rPr>
              <w:t xml:space="preserve">147,849.60</w:t>
            </w:r>
          </w:p>
        </w:tc>
        <w:tc>
          <w:tcPr>
            <w:tcW w:w="1720" w:type="dxa"/>
            <w:tcBorders/>
            <w:vAlign w:val="center"/>
          </w:tcPr>
          <w:p>
            <w:pPr>
              <w:snapToGrid w:val="0"/>
              <w:jc w:val="right"/>
            </w:pPr>
            <w:r>
              <w:rPr>
                <w:rFonts w:ascii="宋体" w:eastAsia="宋体" w:hAnsi="宋体" w:cs="宋体"/>
                <w:b w:val="0"/>
                <w:i w:val="0"/>
                <w:color w:val="000000"/>
                <w:sz w:val="20"/>
              </w:rPr>
              <w:t xml:space="preserve">147,849.60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73,924.80</w:t>
            </w:r>
          </w:p>
        </w:tc>
        <w:tc>
          <w:tcPr>
            <w:tcW w:w="1720" w:type="dxa"/>
            <w:tcBorders/>
            <w:vAlign w:val="center"/>
          </w:tcPr>
          <w:p>
            <w:pPr>
              <w:snapToGrid w:val="0"/>
              <w:jc w:val="right"/>
            </w:pPr>
            <w:r>
              <w:rPr>
                <w:rFonts w:ascii="宋体" w:eastAsia="宋体" w:hAnsi="宋体" w:cs="宋体"/>
                <w:b w:val="0"/>
                <w:i w:val="0"/>
                <w:color w:val="000000"/>
                <w:sz w:val="20"/>
              </w:rPr>
              <w:t xml:space="preserve">73,924.80</w:t>
            </w:r>
          </w:p>
        </w:tc>
        <w:tc>
          <w:tcPr>
            <w:tcW w:w="1720" w:type="dxa"/>
            <w:tcBorders/>
            <w:vAlign w:val="center"/>
          </w:tcPr>
          <w:p>
            <w:pPr>
              <w:snapToGrid w:val="0"/>
              <w:jc w:val="right"/>
            </w:pPr>
            <w:r>
              <w:rPr>
                <w:rFonts w:ascii="宋体" w:eastAsia="宋体" w:hAnsi="宋体" w:cs="宋体"/>
                <w:b w:val="0"/>
                <w:i w:val="0"/>
                <w:color w:val="000000"/>
                <w:sz w:val="20"/>
              </w:rPr>
              <w:t xml:space="preserve">73,924.80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snapToGrid w:val="0"/>
              <w:jc w:val="right"/>
            </w:pPr>
            <w:r>
              <w:rPr>
                <w:rFonts w:ascii="宋体" w:eastAsia="宋体" w:hAnsi="宋体" w:cs="宋体"/>
                <w:b w:val="0"/>
                <w:i w:val="0"/>
                <w:color w:val="000000"/>
                <w:sz w:val="20"/>
              </w:rPr>
              <w:t xml:space="preserve">90,126.00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2120601</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285,000.00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285,000.00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285,000.00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2,122,945.68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185,392.86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491,762.88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22,601.86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205,177.20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6,877.00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538.00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6,877.00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499,867.00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147,849.60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73,924.80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4,300.00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90,126.00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11,089.20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31,884.00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494,149.00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730.00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28,570.00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2,300.00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2,150.00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28,450.00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5,470.00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49,570.00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10,928.59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14,077.61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16,842.80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2,151,515.68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192,269.86</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天津市化工建筑安装工程质量监督站2024年度政府性基金预算财政拨款收入支出决算表为空表。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天津市化工建筑安装工程质量监督站2024年国有资本经营预算财政拨款收入支出决算表为空表。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10,928.59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10,928.59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10,928.59</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单位：天津市化工建筑安装工程质量监督站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化工质监站制造业高质量协同发展项目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snapToGrid w:val="0"/>
              <w:jc w:val="right"/>
            </w:pPr>
            <w:r>
              <w:rPr>
                <w:rFonts w:ascii="宋体" w:eastAsia="宋体" w:hAnsi="宋体" w:cs="宋体"/>
                <w:b w:val="0"/>
                <w:i w:val="0"/>
                <w:color w:val="000000"/>
                <w:sz w:val="14"/>
              </w:rPr>
              <w:t xml:space="preserve">285,000.00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天津市化工建筑安装工程质量监督站</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2,628,835.54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减少100,832.77元，下降3.694%</w:t>
      </w:r>
      <w:r>
        <w:rPr>
          <w:rFonts w:eastAsia="仿宋_GB2312" w:hint="eastAsia"/>
          <w:sz w:val="30"/>
          <w:szCs w:val="30"/>
        </w:rPr>
        <w:t xml:space="preserve">，主要原因是</w:t>
      </w:r>
      <w:r>
        <w:rPr>
          <w:rFonts w:eastAsia="仿宋_GB2312" w:hint="eastAsia"/>
          <w:sz w:val="30"/>
          <w:szCs w:val="30"/>
        </w:rPr>
        <w:t xml:space="preserve">人员动态调整，人员经费减少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一般公共预算财政拨款收入2,628,785.54元、其他收入50.00元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社会保障和就业支出221,774.40元、卫生健康支出90,126.00元、城乡社区支出2,031,885.14元、资源勘探工业信息等支出285,000.00元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天津市化工建筑安装工程质量监督站</w:t>
      </w:r>
      <w:r>
        <w:rPr>
          <w:rFonts w:eastAsia="仿宋_GB2312" w:hint="eastAsia"/>
          <w:sz w:val="30"/>
          <w:szCs w:val="30"/>
        </w:rPr>
        <w:t xml:space="preserve">2024年度本年收入合计</w:t>
      </w:r>
      <w:r>
        <w:rPr>
          <w:rFonts w:eastAsia="仿宋_GB2312" w:hint="eastAsia"/>
          <w:sz w:val="30"/>
          <w:szCs w:val="30"/>
        </w:rPr>
        <w:t xml:space="preserve">2,628,835.54</w:t>
      </w:r>
      <w:r>
        <w:rPr>
          <w:rFonts w:eastAsia="仿宋_GB2312" w:hint="eastAsia"/>
          <w:sz w:val="30"/>
          <w:szCs w:val="30"/>
        </w:rPr>
        <w:t xml:space="preserve">元，与2023年度相比</w:t>
      </w:r>
      <w:r>
        <w:rPr>
          <w:rFonts w:eastAsia="仿宋_GB2312" w:hint="eastAsia"/>
          <w:sz w:val="30"/>
          <w:szCs w:val="30"/>
        </w:rPr>
        <w:t xml:space="preserve">减少57,664.92元，</w:t>
      </w:r>
      <w:r>
        <w:rPr>
          <w:rFonts w:eastAsia="仿宋_GB2312" w:hint="eastAsia"/>
          <w:sz w:val="30"/>
          <w:szCs w:val="30"/>
        </w:rPr>
        <w:t xml:space="preserve">主要原因是</w:t>
      </w:r>
      <w:r>
        <w:rPr>
          <w:rFonts w:eastAsia="仿宋_GB2312" w:hint="eastAsia"/>
          <w:sz w:val="30"/>
          <w:szCs w:val="30"/>
        </w:rPr>
        <w:t xml:space="preserve">人员动态调整，人员经费减少</w:t>
      </w:r>
      <w:r>
        <w:rPr>
          <w:rFonts w:eastAsia="仿宋_GB2312" w:hint="eastAsia"/>
          <w:sz w:val="30"/>
          <w:szCs w:val="30"/>
        </w:rPr>
        <w:t xml:space="preserve">。其中：</w:t>
      </w:r>
      <w:r>
        <w:rPr>
          <w:rFonts w:eastAsia="仿宋_GB2312" w:hint="eastAsia"/>
          <w:sz w:val="30"/>
          <w:szCs w:val="30"/>
        </w:rPr>
        <w:t xml:space="preserve">一般公共预算财政拨款收入2,628,785.54元，占99.998%；其他收入50.00元，占0.002%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天津市化工建筑安装工程质量监督站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2,628,785.54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减少97,725.70元，</w:t>
      </w:r>
      <w:r>
        <w:rPr>
          <w:rFonts w:eastAsia="仿宋_GB2312" w:hint="eastAsia"/>
          <w:sz w:val="30"/>
          <w:szCs w:val="30"/>
        </w:rPr>
        <w:t xml:space="preserve">主要原因是</w:t>
      </w:r>
      <w:r>
        <w:rPr>
          <w:rFonts w:eastAsia="仿宋_GB2312" w:hint="eastAsia"/>
          <w:sz w:val="30"/>
          <w:szCs w:val="30"/>
        </w:rPr>
        <w:t xml:space="preserve">人员动态调整，人员经费减少</w:t>
      </w:r>
      <w:r>
        <w:rPr>
          <w:rFonts w:eastAsia="仿宋_GB2312" w:hint="eastAsia"/>
          <w:sz w:val="30"/>
          <w:szCs w:val="30"/>
        </w:rPr>
        <w:t xml:space="preserve">。其中：</w:t>
      </w:r>
      <w:r>
        <w:rPr>
          <w:rFonts w:eastAsia="仿宋_GB2312" w:hint="eastAsia"/>
          <w:sz w:val="30"/>
          <w:szCs w:val="30"/>
        </w:rPr>
        <w:t xml:space="preserve">基本支出2,343,785.54元，占89.158%；项目支出285,000.00元，占10.842%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天津市化工建筑安装工程质量监督站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2,628,785.54</w:t>
      </w:r>
      <w:r>
        <w:rPr>
          <w:rFonts w:eastAsia="仿宋_GB2312" w:hint="eastAsia"/>
          <w:sz w:val="30"/>
          <w:szCs w:val="30"/>
        </w:rPr>
        <w:t xml:space="preserve">元。与2023年度相比，财政拨款收、支总计各</w:t>
      </w:r>
      <w:r>
        <w:rPr>
          <w:rFonts w:eastAsia="仿宋_GB2312" w:hint="eastAsia"/>
          <w:sz w:val="30"/>
          <w:szCs w:val="30"/>
        </w:rPr>
        <w:t xml:space="preserve">减少97,690.68元，下降3.583%，</w:t>
      </w:r>
      <w:r>
        <w:rPr>
          <w:rFonts w:eastAsia="仿宋_GB2312" w:hint="eastAsia"/>
          <w:sz w:val="30"/>
          <w:szCs w:val="30"/>
        </w:rPr>
        <w:t xml:space="preserve">主要原因是</w:t>
      </w:r>
      <w:r>
        <w:rPr>
          <w:rFonts w:eastAsia="仿宋_GB2312" w:hint="eastAsia"/>
          <w:sz w:val="30"/>
          <w:szCs w:val="30"/>
        </w:rPr>
        <w:t xml:space="preserve">人员动态调整，人员经费减少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一般公共预算财政拨款2,628,785.54元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社会保障和就业支出221,774.40元、卫生健康支出90,126.00元、城乡社区支出2,031,885.14元、资源勘探工业信息等支出285,000.00元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天津市化工建筑安装工程质量监督站2024年度部门决算一般公共预算财政拨款支出合计2,628,785.54元，占本年支出合计的100.000%。与2023年度相比，一般公共预算财政拨款支出</w:t>
      </w:r>
      <w:r>
        <w:rPr>
          <w:rFonts w:eastAsia="仿宋_GB2312" w:hint="eastAsia"/>
          <w:sz w:val="30"/>
          <w:szCs w:val="30"/>
        </w:rPr>
        <w:t xml:space="preserve">减少97,690.68元</w:t>
      </w:r>
      <w:r>
        <w:rPr>
          <w:rFonts w:eastAsia="仿宋_GB2312" w:hint="eastAsia"/>
          <w:sz w:val="30"/>
          <w:szCs w:val="30"/>
        </w:rPr>
        <w:t xml:space="preserve">，下降3.583%</w:t>
      </w:r>
      <w:r>
        <w:rPr>
          <w:rFonts w:eastAsia="仿宋_GB2312" w:hint="eastAsia"/>
          <w:sz w:val="30"/>
          <w:szCs w:val="30"/>
        </w:rPr>
        <w:t xml:space="preserve">，主要原因是人员动态调整，人员经费减少。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2024年度一般公共预算财政拨款支出2,628,785.54元，主要用于以下方面：</w:t>
      </w:r>
      <w:r>
        <w:rPr>
          <w:rFonts w:eastAsia="仿宋_GB2312" w:hint="eastAsia"/>
          <w:sz w:val="30"/>
          <w:szCs w:val="30"/>
        </w:rPr>
        <w:t xml:space="preserve">社会保障和就业支出（类）支出221,774.40元，占8.436%,卫生健康支出（类）支出90,126.00元，占3.428%,城乡社区支出（类）支出2,031,885.14元，占77.294%,资源勘探工业信息等支出（类）支出285,000.00元，占10.842%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2024年度一般公共预算财政拨款支出年初预算为2,665,000.00元，支出决算为2,628,785.54元</w:t>
      </w:r>
      <w:r>
        <w:rPr>
          <w:rFonts w:eastAsia="仿宋_GB2312" w:hint="eastAsia"/>
          <w:sz w:val="30"/>
          <w:szCs w:val="30"/>
        </w:rPr>
        <w:t xml:space="preserve">，完成年初预算的98.641%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149,000.00元，支出决算为147,849.60元，完成年初预算的99.228%，决算数小于预算数的主要原因是：本年严格按照预算执行，据实列支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75,000.00元，支出决算为73,924.80元，完成年初预算的98.566%，决算数小于预算数的主要原因是：本年严格按照预算执行，据实列支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93,000.00元，支出决算为90,126.00元，完成年初预算的96.910%，决算数小于预算数的主要原因是：本年严格按照预算执行，据实列支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4.卫生健康支出（类）行政事业单位医疗（款）其他行政事业单位医疗支出（项）年初预算为26,000.00元，支出决算为0.00元，决算数小于预算数的主要原因是：单位未实行医疗费二次报销制度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建设市场管理与监督（款）建设市场管理与监督（项）年初预算为2,037,000.00元，支出决算为2,031,885.14元，完成年初预算的99.749%，决算数小于预算数的主要原因是：人员动态调整，人员经费减少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资源勘探工业信息等支出（类）工业和信息产业监管（款）一般行政管理事务（项）年初预算为285,000.00元，支出决算为285,000.00元，完成年初预算的100.000%，决算数与预算数持平的主要原因是：化工质监站制造业高质量协同发展项目经费严格按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天津市化工建筑安装工程质量监督站</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2,343,785.54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减少97,690.68元，</w:t>
      </w:r>
      <w:r>
        <w:rPr>
          <w:rFonts w:eastAsia="仿宋_GB2312" w:hint="eastAsia"/>
          <w:sz w:val="30"/>
          <w:szCs w:val="30"/>
        </w:rPr>
        <w:t xml:space="preserve">主要原因是</w:t>
      </w:r>
      <w:r>
        <w:rPr>
          <w:rFonts w:eastAsia="仿宋_GB2312" w:hint="eastAsia"/>
          <w:sz w:val="30"/>
          <w:szCs w:val="30"/>
        </w:rPr>
        <w:t xml:space="preserve">人员动态调整，人员经费减少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人员经费2,151,515.68元，主要包括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公用经费192,269.86元，主要包括</w:t>
      </w:r>
      <w:r>
        <w:rPr>
          <w:rFonts w:eastAsia="仿宋_GB2312" w:hint="eastAsia"/>
          <w:sz w:val="30"/>
          <w:szCs w:val="30"/>
        </w:rPr>
        <w:t xml:space="preserve">办公费、印刷费、咨询费、手续费、邮电费、差旅费、维修（护）费、会议费、培训费、委托业务费、工会经费、福利费、公务用车运行维护费、其他交通费用、税金及附加费用、办公设备购置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天津市化工建筑安装工程质量监督站2024年度无政府性基金预算财政拨款收入、支出和结转结余。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天津市化工建筑安装工程质量监督站2024年度无国有资本经营预算财政拨款收入、支出和结转结余。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10,928.59</w:t>
      </w:r>
      <w:r>
        <w:rPr>
          <w:rFonts w:eastAsia="仿宋_GB2312" w:hint="eastAsia"/>
          <w:sz w:val="30"/>
          <w:szCs w:val="30"/>
        </w:rPr>
        <w:t xml:space="preserve">元，支出决算</w:t>
      </w:r>
      <w:r>
        <w:rPr>
          <w:rFonts w:eastAsia="仿宋_GB2312" w:hint="eastAsia"/>
          <w:sz w:val="30"/>
          <w:szCs w:val="30"/>
        </w:rPr>
        <w:t xml:space="preserve">10,928.59</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支出决算较上年增加2,185.00元</w:t>
      </w:r>
      <w:r>
        <w:rPr>
          <w:rFonts w:eastAsia="仿宋_GB2312" w:hint="eastAsia"/>
          <w:sz w:val="30"/>
          <w:szCs w:val="30"/>
        </w:rPr>
        <w:t xml:space="preserve">，增长24.990%</w:t>
      </w:r>
      <w:r>
        <w:rPr>
          <w:rFonts w:eastAsia="仿宋_GB2312" w:hint="eastAsia"/>
          <w:sz w:val="30"/>
          <w:szCs w:val="30"/>
        </w:rPr>
        <w:t xml:space="preserve">。</w:t>
      </w:r>
      <w:r>
        <w:rPr>
          <w:rFonts w:eastAsia="仿宋_GB2312" w:hint="eastAsia"/>
          <w:sz w:val="30"/>
          <w:szCs w:val="30"/>
        </w:rPr>
        <w:t xml:space="preserve">决算数与预算数持平的主要原因是严格按预算执行；</w:t>
      </w:r>
      <w:r>
        <w:rPr>
          <w:rFonts w:eastAsia="仿宋_GB2312" w:hint="eastAsia"/>
          <w:sz w:val="30"/>
          <w:szCs w:val="30"/>
        </w:rPr>
        <w:t xml:space="preserve">决算数较上年增加的主要原因是公务用车车龄和里程数增加，运行维护费相应增加。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10,928.59</w:t>
      </w:r>
      <w:r>
        <w:rPr>
          <w:rFonts w:eastAsia="仿宋_GB2312" w:hint="eastAsia"/>
          <w:sz w:val="30"/>
          <w:szCs w:val="30"/>
        </w:rPr>
        <w:t xml:space="preserve">元，支出决算</w:t>
      </w:r>
      <w:r>
        <w:rPr>
          <w:rFonts w:eastAsia="仿宋_GB2312" w:hint="eastAsia"/>
          <w:sz w:val="30"/>
          <w:szCs w:val="30"/>
        </w:rPr>
        <w:t xml:space="preserve">10,928.59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支出决算较上年增加2,185.00元</w:t>
      </w:r>
      <w:r>
        <w:rPr>
          <w:rFonts w:eastAsia="仿宋_GB2312" w:hint="eastAsia"/>
          <w:sz w:val="30"/>
          <w:szCs w:val="30"/>
        </w:rPr>
        <w:t xml:space="preserve">，增长24.990%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决算数较上年增加的主要原因是公务用车车龄和里程数增加，运行维护费相应增加。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10,928.59</w:t>
      </w:r>
      <w:r>
        <w:rPr>
          <w:rFonts w:eastAsia="仿宋_GB2312" w:hint="eastAsia"/>
          <w:sz w:val="30"/>
          <w:szCs w:val="30"/>
        </w:rPr>
        <w:t xml:space="preserve">元，支出决算</w:t>
      </w:r>
      <w:r>
        <w:rPr>
          <w:rFonts w:eastAsia="仿宋_GB2312" w:hint="eastAsia"/>
          <w:sz w:val="30"/>
          <w:szCs w:val="30"/>
        </w:rPr>
        <w:t xml:space="preserve">10,928.59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支出决算较上年增加2,185.00元</w:t>
      </w:r>
      <w:r>
        <w:rPr>
          <w:rFonts w:eastAsia="仿宋_GB2312" w:hint="eastAsia"/>
          <w:sz w:val="30"/>
          <w:szCs w:val="30"/>
        </w:rPr>
        <w:t xml:space="preserve">，增长24.990%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决算数较上年增加的主要原因是公务用车车龄和里程数增加，运行维护费相应增加。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天津市化工建筑安装工程质量监督站2024年度无机关运行经费。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化工建筑安装工程质量监督站2024年政府采购支出总额8,373.00元，其中：政府采购货物支出8,373.00元、政府采购工程支出0.00元、政府采购服务支出0.00元。授予中小企业合同金额8,373.00元，占政府采购支出总额的100.000%，其中：授予小微企业合同金额8,373.00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截至2024年12月31日，天津市化工建筑安装工程质量监督站共有车辆1辆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根据预算绩效管理要求，天津市化工建筑安装工程质量监督站已对1个2024年市级项目开展绩效自评，涉及金额285000元，自评结果已随部门决算一并公开。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天津市化工建筑安装工程质量监督站不属于乡、镇、街级单位,不涉及公开2024年度教育、医疗卫生、社会保障和就业、住房保障、涉农补贴等民生支出情况。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