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rPr>
          <w:rFonts w:hint="eastAsia" w:eastAsia="方正小标宋简体"/>
          <w:lang w:val="en-US" w:eastAsia="zh-CN"/>
        </w:rPr>
      </w:pPr>
      <w:r>
        <w:rPr>
          <w:rFonts w:ascii="方正小标宋简体" w:hAnsi="方正小标宋_GBK" w:eastAsia="方正小标宋简体" w:cs="方正小标宋_GBK"/>
          <w:sz w:val="56"/>
          <w:szCs w:val="56"/>
        </w:rPr>
        <w:t>天津市工业和信息化局</w:t>
      </w:r>
      <w:r>
        <w:rPr>
          <w:rFonts w:hint="eastAsia" w:ascii="方正小标宋简体" w:hAnsi="方正小标宋_GBK" w:eastAsia="方正小标宋简体" w:cs="方正小标宋_GBK"/>
          <w:sz w:val="56"/>
          <w:szCs w:val="56"/>
          <w:lang w:val="en-US" w:eastAsia="zh-CN"/>
        </w:rPr>
        <w:t>（本级）</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项目支出绩效目标表</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sectPr>
          <w:headerReference r:id="rId3" w:type="first"/>
          <w:pgSz w:w="11900" w:h="16840"/>
          <w:pgMar w:top="1984" w:right="1304" w:bottom="1134" w:left="1304" w:header="720" w:footer="720" w:gutter="0"/>
          <w:cols w:space="720" w:num="1"/>
          <w:titlePg/>
        </w:sectPr>
      </w:pPr>
    </w:p>
    <w:p>
      <w:pPr>
        <w:jc w:val="center"/>
      </w:pPr>
    </w:p>
    <w:p>
      <w:pPr>
        <w:jc w:val="center"/>
        <w:outlineLvl w:val="0"/>
      </w:pPr>
      <w:r>
        <w:rPr>
          <w:rFonts w:ascii="方正小标宋_GBK" w:hAnsi="方正小标宋_GBK" w:eastAsia="方正小标宋_GBK" w:cs="方正小标宋_GBK"/>
          <w:sz w:val="36"/>
        </w:rPr>
        <w:t>目    录</w:t>
      </w:r>
    </w:p>
    <w:p>
      <w:pPr>
        <w:jc w:val="center"/>
      </w:pPr>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1.2025年制造业高质量协同发展项目绩效目标表</w:t>
      </w:r>
      <w:r>
        <w:fldChar w:fldCharType="end"/>
      </w:r>
    </w:p>
    <w:p>
      <w:pPr>
        <w:pStyle w:val="17"/>
        <w:tabs>
          <w:tab w:val="right" w:leader="dot" w:pos="9282"/>
        </w:tabs>
      </w:pPr>
      <w:r>
        <w:fldChar w:fldCharType="begin"/>
      </w:r>
      <w:r>
        <w:instrText xml:space="preserve"> HYPERLINK \l "_Toc_4_4_0000000005" </w:instrText>
      </w:r>
      <w:r>
        <w:fldChar w:fldCharType="separate"/>
      </w:r>
      <w:r>
        <w:t>2.2025世界智能产业博览会项目资金绩效目标表</w:t>
      </w:r>
      <w:r>
        <w:fldChar w:fldCharType="end"/>
      </w:r>
    </w:p>
    <w:p>
      <w:pPr>
        <w:pStyle w:val="17"/>
        <w:tabs>
          <w:tab w:val="right" w:leader="dot" w:pos="9282"/>
        </w:tabs>
      </w:pPr>
      <w:r>
        <w:fldChar w:fldCharType="begin"/>
      </w:r>
      <w:r>
        <w:instrText xml:space="preserve"> HYPERLINK \l "_Toc_4_4_0000000006" </w:instrText>
      </w:r>
      <w:r>
        <w:fldChar w:fldCharType="separate"/>
      </w:r>
      <w:r>
        <w:t>3.电力需求侧管理专项资金绩效目标表</w:t>
      </w:r>
      <w:r>
        <w:fldChar w:fldCharType="end"/>
      </w:r>
    </w:p>
    <w:p>
      <w:pPr>
        <w:pStyle w:val="17"/>
        <w:tabs>
          <w:tab w:val="right" w:leader="dot" w:pos="9282"/>
        </w:tabs>
      </w:pPr>
      <w:r>
        <w:fldChar w:fldCharType="begin"/>
      </w:r>
      <w:r>
        <w:instrText xml:space="preserve"> HYPERLINK \l "_Toc_4_4_0000000007" </w:instrText>
      </w:r>
      <w:r>
        <w:fldChar w:fldCharType="separate"/>
      </w:r>
      <w:r>
        <w:t>4.购买保密设备设施等绩效目标表</w:t>
      </w:r>
      <w:r>
        <w:fldChar w:fldCharType="end"/>
      </w:r>
    </w:p>
    <w:p>
      <w:pPr>
        <w:pStyle w:val="17"/>
        <w:tabs>
          <w:tab w:val="right" w:leader="dot" w:pos="9282"/>
        </w:tabs>
      </w:pPr>
      <w:r>
        <w:fldChar w:fldCharType="begin"/>
      </w:r>
      <w:r>
        <w:instrText xml:space="preserve"> HYPERLINK \l "_Toc_4_4_0000000008" </w:instrText>
      </w:r>
      <w:r>
        <w:fldChar w:fldCharType="separate"/>
      </w:r>
      <w:r>
        <w:t>5.计算机技术与软件专业技术资格（水平）考试绩效目标表</w:t>
      </w:r>
      <w:r>
        <w:fldChar w:fldCharType="end"/>
      </w:r>
    </w:p>
    <w:p>
      <w:pPr>
        <w:pStyle w:val="17"/>
        <w:tabs>
          <w:tab w:val="right" w:leader="dot" w:pos="9282"/>
        </w:tabs>
      </w:pPr>
      <w:r>
        <w:fldChar w:fldCharType="begin"/>
      </w:r>
      <w:r>
        <w:instrText xml:space="preserve"> HYPERLINK \l "_Toc_4_4_0000000009" </w:instrText>
      </w:r>
      <w:r>
        <w:fldChar w:fldCharType="separate"/>
      </w:r>
      <w:r>
        <w:t>6.节能减排补助资金——中央绩效目标表</w:t>
      </w:r>
      <w:r>
        <w:fldChar w:fldCharType="end"/>
      </w:r>
    </w:p>
    <w:p>
      <w:pPr>
        <w:pStyle w:val="17"/>
        <w:tabs>
          <w:tab w:val="right" w:leader="dot" w:pos="9282"/>
        </w:tabs>
      </w:pPr>
      <w:r>
        <w:fldChar w:fldCharType="begin"/>
      </w:r>
      <w:r>
        <w:instrText xml:space="preserve"> HYPERLINK \l "_Toc_4_4_0000000010" </w:instrText>
      </w:r>
      <w:r>
        <w:fldChar w:fldCharType="separate"/>
      </w:r>
      <w:r>
        <w:t>7.京津冀产业链供应链大会项目绩效目标表</w:t>
      </w:r>
      <w:r>
        <w:fldChar w:fldCharType="end"/>
      </w:r>
    </w:p>
    <w:p>
      <w:pPr>
        <w:pStyle w:val="17"/>
        <w:tabs>
          <w:tab w:val="right" w:leader="dot" w:pos="9282"/>
        </w:tabs>
      </w:pPr>
      <w:r>
        <w:fldChar w:fldCharType="begin"/>
      </w:r>
      <w:r>
        <w:instrText xml:space="preserve"> HYPERLINK \l "_Toc_4_4_0000000013" </w:instrText>
      </w:r>
      <w:r>
        <w:fldChar w:fldCharType="separate"/>
      </w:r>
      <w:r>
        <w:rPr>
          <w:rFonts w:hint="eastAsia"/>
          <w:lang w:val="en-US" w:eastAsia="zh-CN"/>
        </w:rPr>
        <w:t>8</w:t>
      </w:r>
      <w:r>
        <w:t>.频率台站系统（行政许可相关功能）升级改造等级保护测评服务项目—中央绩效目标表</w:t>
      </w:r>
      <w:r>
        <w:fldChar w:fldCharType="end"/>
      </w:r>
    </w:p>
    <w:p>
      <w:pPr>
        <w:pStyle w:val="17"/>
        <w:tabs>
          <w:tab w:val="right" w:leader="dot" w:pos="9282"/>
        </w:tabs>
      </w:pPr>
      <w:r>
        <w:fldChar w:fldCharType="begin"/>
      </w:r>
      <w:r>
        <w:instrText xml:space="preserve"> HYPERLINK \l "_Toc_4_4_0000000014" </w:instrText>
      </w:r>
      <w:r>
        <w:fldChar w:fldCharType="separate"/>
      </w:r>
      <w:r>
        <w:rPr>
          <w:rFonts w:hint="eastAsia"/>
          <w:lang w:val="en-US" w:eastAsia="zh-CN"/>
        </w:rPr>
        <w:t>9</w:t>
      </w:r>
      <w:r>
        <w:t>.市公共卫生应急物资储备库项目绩效目标表</w:t>
      </w:r>
      <w:r>
        <w:fldChar w:fldCharType="end"/>
      </w:r>
    </w:p>
    <w:p>
      <w:pPr>
        <w:pStyle w:val="17"/>
        <w:tabs>
          <w:tab w:val="right" w:leader="dot" w:pos="9282"/>
        </w:tabs>
      </w:pPr>
      <w:r>
        <w:fldChar w:fldCharType="begin"/>
      </w:r>
      <w:r>
        <w:instrText xml:space="preserve"> HYPERLINK \l "_Toc_4_4_0000000015" </w:instrText>
      </w:r>
      <w:r>
        <w:fldChar w:fldCharType="separate"/>
      </w:r>
      <w:r>
        <w:rPr>
          <w:rFonts w:hint="eastAsia"/>
          <w:lang w:val="en-US" w:eastAsia="zh-CN"/>
        </w:rPr>
        <w:t>10</w:t>
      </w:r>
      <w:r>
        <w:t>.天津市新能源和智能网联汽车产业发展支撑项目绩效目标表</w:t>
      </w:r>
      <w:r>
        <w:fldChar w:fldCharType="end"/>
      </w:r>
    </w:p>
    <w:p>
      <w:pPr>
        <w:pStyle w:val="17"/>
        <w:tabs>
          <w:tab w:val="right" w:leader="dot" w:pos="9282"/>
        </w:tabs>
      </w:pPr>
      <w:r>
        <w:fldChar w:fldCharType="begin"/>
      </w:r>
      <w:r>
        <w:instrText xml:space="preserve"> HYPERLINK \l "_Toc_4_4_0000000016" </w:instrText>
      </w:r>
      <w:r>
        <w:fldChar w:fldCharType="separate"/>
      </w:r>
      <w:r>
        <w:t>1</w:t>
      </w:r>
      <w:r>
        <w:rPr>
          <w:rFonts w:hint="eastAsia"/>
          <w:lang w:val="en-US" w:eastAsia="zh-CN"/>
        </w:rPr>
        <w:t>1</w:t>
      </w:r>
      <w:r>
        <w:t>.无线电管理技术设备运维—中央绩效目标表</w:t>
      </w:r>
      <w:r>
        <w:fldChar w:fldCharType="end"/>
      </w:r>
    </w:p>
    <w:p>
      <w:pPr>
        <w:pStyle w:val="17"/>
        <w:tabs>
          <w:tab w:val="right" w:leader="dot" w:pos="9282"/>
        </w:tabs>
      </w:pPr>
      <w:r>
        <w:fldChar w:fldCharType="begin"/>
      </w:r>
      <w:r>
        <w:instrText xml:space="preserve"> HYPERLINK \l "_Toc_4_4_0000000017" </w:instrText>
      </w:r>
      <w:r>
        <w:fldChar w:fldCharType="separate"/>
      </w:r>
      <w:r>
        <w:t>1</w:t>
      </w:r>
      <w:r>
        <w:rPr>
          <w:rFonts w:hint="eastAsia"/>
          <w:lang w:val="en-US" w:eastAsia="zh-CN"/>
        </w:rPr>
        <w:t>2</w:t>
      </w:r>
      <w:r>
        <w:t>.无线电管理专项监管—中央绩效目标表</w:t>
      </w:r>
      <w:r>
        <w:fldChar w:fldCharType="end"/>
      </w:r>
    </w:p>
    <w:p>
      <w:pPr>
        <w:pStyle w:val="17"/>
        <w:tabs>
          <w:tab w:val="right" w:leader="dot" w:pos="9282"/>
        </w:tabs>
      </w:pPr>
      <w:r>
        <w:fldChar w:fldCharType="begin"/>
      </w:r>
      <w:r>
        <w:instrText xml:space="preserve"> HYPERLINK \l "_Toc_4_4_0000000018" </w:instrText>
      </w:r>
      <w:r>
        <w:fldChar w:fldCharType="separate"/>
      </w:r>
      <w:r>
        <w:t>1</w:t>
      </w:r>
      <w:r>
        <w:rPr>
          <w:rFonts w:hint="eastAsia"/>
          <w:lang w:val="en-US" w:eastAsia="zh-CN"/>
        </w:rPr>
        <w:t>3</w:t>
      </w:r>
      <w:r>
        <w:t>.无线电频率审批相关支持项目—中央绩效目标表</w:t>
      </w:r>
      <w:r>
        <w:fldChar w:fldCharType="end"/>
      </w:r>
    </w:p>
    <w:p>
      <w:pPr>
        <w:pStyle w:val="17"/>
        <w:tabs>
          <w:tab w:val="right" w:leader="dot" w:pos="9282"/>
        </w:tabs>
      </w:pPr>
      <w:r>
        <w:fldChar w:fldCharType="begin"/>
      </w:r>
      <w:r>
        <w:instrText xml:space="preserve"> HYPERLINK \l "_Toc_4_4_0000000019" </w:instrText>
      </w:r>
      <w:r>
        <w:fldChar w:fldCharType="separate"/>
      </w:r>
      <w:r>
        <w:t>1</w:t>
      </w:r>
      <w:r>
        <w:rPr>
          <w:rFonts w:hint="eastAsia"/>
          <w:lang w:val="en-US" w:eastAsia="zh-CN"/>
        </w:rPr>
        <w:t>4</w:t>
      </w:r>
      <w:r>
        <w:t>.无线电专项监管-中央绩效目标表</w:t>
      </w:r>
      <w:r>
        <w:fldChar w:fldCharType="end"/>
      </w:r>
    </w:p>
    <w:p>
      <w:pPr>
        <w:pStyle w:val="17"/>
        <w:tabs>
          <w:tab w:val="right" w:leader="dot" w:pos="9282"/>
        </w:tabs>
      </w:pPr>
      <w:r>
        <w:fldChar w:fldCharType="begin"/>
      </w:r>
      <w:r>
        <w:instrText xml:space="preserve"> HYPERLINK \l "_Toc_4_4_0000000020" </w:instrText>
      </w:r>
      <w:r>
        <w:fldChar w:fldCharType="separate"/>
      </w:r>
      <w:r>
        <w:t>1</w:t>
      </w:r>
      <w:r>
        <w:rPr>
          <w:rFonts w:hint="eastAsia"/>
          <w:lang w:val="en-US" w:eastAsia="zh-CN"/>
        </w:rPr>
        <w:t>5</w:t>
      </w:r>
      <w:r>
        <w:t>.新能源汽车推广应用补贴绩效目标表</w:t>
      </w:r>
      <w:r>
        <w:fldChar w:fldCharType="end"/>
      </w:r>
    </w:p>
    <w:p>
      <w:pPr>
        <w:sectPr>
          <w:footerReference r:id="rId4" w:type="default"/>
          <w:footerReference r:id="rId5" w:type="even"/>
          <w:pgSz w:w="11900" w:h="16840"/>
          <w:pgMar w:top="1984" w:right="1304" w:bottom="1134" w:left="1304" w:header="720" w:footer="720" w:gutter="0"/>
          <w:pgNumType w:start="1"/>
          <w:cols w:space="720" w:num="1"/>
        </w:sectPr>
      </w:pPr>
      <w:r>
        <w:fldChar w:fldCharType="end"/>
      </w:r>
    </w:p>
    <w:p>
      <w:pPr>
        <w:ind w:firstLine="560"/>
        <w:outlineLvl w:val="3"/>
      </w:pPr>
      <w:bookmarkStart w:id="0" w:name="_Toc_4_4_0000000004"/>
      <w:r>
        <w:rPr>
          <w:rFonts w:ascii="方正仿宋_GBK" w:hAnsi="方正仿宋_GBK" w:eastAsia="方正仿宋_GBK" w:cs="方正仿宋_GBK"/>
          <w:sz w:val="28"/>
        </w:rPr>
        <w:t>1.2025年制造业高质量协同发展项目绩效目标表</w:t>
      </w:r>
      <w:bookmarkEnd w:id="0"/>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2025年制造业高质量协同发展项目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2471.00</w:t>
            </w:r>
          </w:p>
        </w:tc>
        <w:tc>
          <w:tcPr>
            <w:tcW w:w="1587" w:type="dxa"/>
            <w:vAlign w:val="center"/>
          </w:tcPr>
          <w:p>
            <w:pPr>
              <w:pStyle w:val="13"/>
            </w:pPr>
            <w:r>
              <w:t>其中：财政    资金</w:t>
            </w:r>
          </w:p>
        </w:tc>
        <w:tc>
          <w:tcPr>
            <w:tcW w:w="1843" w:type="dxa"/>
            <w:vAlign w:val="center"/>
          </w:tcPr>
          <w:p>
            <w:pPr>
              <w:pStyle w:val="12"/>
            </w:pPr>
            <w:r>
              <w:t>2471.00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市工信局制造业高质量协同发展项目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1.保障局机关办公运行，以及工业和信息化各项工作顺利推动。</w:t>
            </w:r>
            <w:r>
              <w:tab/>
            </w: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保障重点工作数量</w:t>
            </w:r>
          </w:p>
        </w:tc>
        <w:tc>
          <w:tcPr>
            <w:tcW w:w="3430" w:type="dxa"/>
            <w:vAlign w:val="center"/>
          </w:tcPr>
          <w:p>
            <w:pPr>
              <w:pStyle w:val="12"/>
            </w:pPr>
            <w:r>
              <w:t>保障重点工作数量</w:t>
            </w:r>
          </w:p>
        </w:tc>
        <w:tc>
          <w:tcPr>
            <w:tcW w:w="2551" w:type="dxa"/>
            <w:vAlign w:val="center"/>
          </w:tcPr>
          <w:p>
            <w:pPr>
              <w:pStyle w:val="12"/>
            </w:pPr>
            <w:r>
              <w:t>≥60个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重点工作完成率</w:t>
            </w:r>
          </w:p>
        </w:tc>
        <w:tc>
          <w:tcPr>
            <w:tcW w:w="3430" w:type="dxa"/>
            <w:vAlign w:val="center"/>
          </w:tcPr>
          <w:p>
            <w:pPr>
              <w:pStyle w:val="12"/>
            </w:pPr>
            <w:r>
              <w:t>重点工作完成率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资金使用合规率</w:t>
            </w:r>
          </w:p>
        </w:tc>
        <w:tc>
          <w:tcPr>
            <w:tcW w:w="3430" w:type="dxa"/>
            <w:vAlign w:val="center"/>
          </w:tcPr>
          <w:p>
            <w:pPr>
              <w:pStyle w:val="12"/>
            </w:pPr>
            <w:r>
              <w:t>资金使用合规率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资金拨付完成时间</w:t>
            </w:r>
          </w:p>
        </w:tc>
        <w:tc>
          <w:tcPr>
            <w:tcW w:w="3430" w:type="dxa"/>
            <w:vAlign w:val="center"/>
          </w:tcPr>
          <w:p>
            <w:pPr>
              <w:pStyle w:val="12"/>
            </w:pPr>
            <w:r>
              <w:t>资金拨付完成时间</w:t>
            </w:r>
          </w:p>
        </w:tc>
        <w:tc>
          <w:tcPr>
            <w:tcW w:w="2551" w:type="dxa"/>
            <w:vAlign w:val="center"/>
          </w:tcPr>
          <w:p>
            <w:pPr>
              <w:pStyle w:val="1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重点工作完成时间</w:t>
            </w:r>
          </w:p>
        </w:tc>
        <w:tc>
          <w:tcPr>
            <w:tcW w:w="3430" w:type="dxa"/>
            <w:vAlign w:val="center"/>
          </w:tcPr>
          <w:p>
            <w:pPr>
              <w:pStyle w:val="12"/>
            </w:pPr>
            <w:r>
              <w:t>重点工作完成时间</w:t>
            </w:r>
          </w:p>
        </w:tc>
        <w:tc>
          <w:tcPr>
            <w:tcW w:w="2551" w:type="dxa"/>
            <w:vAlign w:val="center"/>
          </w:tcPr>
          <w:p>
            <w:pPr>
              <w:pStyle w:val="1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拨付财政资金</w:t>
            </w:r>
          </w:p>
        </w:tc>
        <w:tc>
          <w:tcPr>
            <w:tcW w:w="3430" w:type="dxa"/>
            <w:vAlign w:val="center"/>
          </w:tcPr>
          <w:p>
            <w:pPr>
              <w:pStyle w:val="12"/>
            </w:pPr>
            <w:r>
              <w:t>拨付财政资金</w:t>
            </w:r>
          </w:p>
        </w:tc>
        <w:tc>
          <w:tcPr>
            <w:tcW w:w="2551" w:type="dxa"/>
            <w:vAlign w:val="center"/>
          </w:tcPr>
          <w:p>
            <w:pPr>
              <w:pStyle w:val="12"/>
            </w:pPr>
            <w:r>
              <w:t>≤2471万元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工业和信息化工作</w:t>
            </w:r>
          </w:p>
        </w:tc>
        <w:tc>
          <w:tcPr>
            <w:tcW w:w="3430" w:type="dxa"/>
            <w:vAlign w:val="center"/>
          </w:tcPr>
          <w:p>
            <w:pPr>
              <w:pStyle w:val="12"/>
            </w:pPr>
            <w:r>
              <w:t>工业和信息化工作</w:t>
            </w:r>
          </w:p>
        </w:tc>
        <w:tc>
          <w:tcPr>
            <w:tcW w:w="2551" w:type="dxa"/>
            <w:vAlign w:val="center"/>
          </w:tcPr>
          <w:p>
            <w:pPr>
              <w:pStyle w:val="12"/>
            </w:pPr>
            <w:r>
              <w:t>有力推动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保障机关工作运行</w:t>
            </w:r>
          </w:p>
        </w:tc>
        <w:tc>
          <w:tcPr>
            <w:tcW w:w="3430" w:type="dxa"/>
            <w:vAlign w:val="center"/>
          </w:tcPr>
          <w:p>
            <w:pPr>
              <w:pStyle w:val="12"/>
            </w:pPr>
            <w:r>
              <w:t>保障机关工作运行</w:t>
            </w:r>
          </w:p>
        </w:tc>
        <w:tc>
          <w:tcPr>
            <w:tcW w:w="2551" w:type="dxa"/>
            <w:vAlign w:val="center"/>
          </w:tcPr>
          <w:p>
            <w:pPr>
              <w:pStyle w:val="12"/>
            </w:pPr>
            <w:r>
              <w:t>持续保障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职工满意度</w:t>
            </w:r>
          </w:p>
        </w:tc>
        <w:tc>
          <w:tcPr>
            <w:tcW w:w="3430" w:type="dxa"/>
            <w:vAlign w:val="center"/>
          </w:tcPr>
          <w:p>
            <w:pPr>
              <w:pStyle w:val="12"/>
            </w:pPr>
            <w:r>
              <w:t>职工满意度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 w:name="_Toc_4_4_0000000005"/>
      <w:r>
        <w:rPr>
          <w:rFonts w:ascii="方正仿宋_GBK" w:hAnsi="方正仿宋_GBK" w:eastAsia="方正仿宋_GBK" w:cs="方正仿宋_GBK"/>
          <w:sz w:val="28"/>
        </w:rPr>
        <w:t>2.2025世界智能产业博览会项目资金绩效目标表</w:t>
      </w:r>
      <w:bookmarkEnd w:id="1"/>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2025世界智能产业博览会项目资金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500.00</w:t>
            </w:r>
          </w:p>
        </w:tc>
        <w:tc>
          <w:tcPr>
            <w:tcW w:w="1587" w:type="dxa"/>
            <w:vAlign w:val="center"/>
          </w:tcPr>
          <w:p>
            <w:pPr>
              <w:pStyle w:val="13"/>
            </w:pPr>
            <w:r>
              <w:t>其中：财政    资金</w:t>
            </w:r>
          </w:p>
        </w:tc>
        <w:tc>
          <w:tcPr>
            <w:tcW w:w="1843" w:type="dxa"/>
            <w:vAlign w:val="center"/>
          </w:tcPr>
          <w:p>
            <w:pPr>
              <w:pStyle w:val="12"/>
            </w:pPr>
            <w:r>
              <w:t>500.00</w:t>
            </w:r>
          </w:p>
        </w:tc>
        <w:tc>
          <w:tcPr>
            <w:tcW w:w="1276" w:type="dxa"/>
            <w:vAlign w:val="center"/>
          </w:tcPr>
          <w:p>
            <w:pPr>
              <w:pStyle w:val="13"/>
            </w:pPr>
            <w:r>
              <w:t>其他资金</w:t>
            </w:r>
          </w:p>
        </w:tc>
        <w:tc>
          <w:tcPr>
            <w:tcW w:w="1276"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用于2025年世界智能产业博览会支撑服务</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1.2025年世界智能产业博览会在重庆轮值举办所涉及的组委会秘书处支撑工作、成果展示、推介会等组织筹备工作。</w:t>
            </w: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举办展览规模</w:t>
            </w:r>
          </w:p>
        </w:tc>
        <w:tc>
          <w:tcPr>
            <w:tcW w:w="3430" w:type="dxa"/>
            <w:vAlign w:val="center"/>
          </w:tcPr>
          <w:p>
            <w:pPr>
              <w:pStyle w:val="12"/>
            </w:pPr>
            <w:r>
              <w:t>举办展览规模</w:t>
            </w:r>
          </w:p>
        </w:tc>
        <w:tc>
          <w:tcPr>
            <w:tcW w:w="2551" w:type="dxa"/>
            <w:vAlign w:val="center"/>
          </w:tcPr>
          <w:p>
            <w:pPr>
              <w:pStyle w:val="12"/>
            </w:pPr>
            <w:r>
              <w:t>≥360平米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举办推介会</w:t>
            </w:r>
          </w:p>
        </w:tc>
        <w:tc>
          <w:tcPr>
            <w:tcW w:w="3430" w:type="dxa"/>
            <w:vAlign w:val="center"/>
          </w:tcPr>
          <w:p>
            <w:pPr>
              <w:pStyle w:val="12"/>
            </w:pPr>
            <w:r>
              <w:t>举办推介会</w:t>
            </w:r>
          </w:p>
        </w:tc>
        <w:tc>
          <w:tcPr>
            <w:tcW w:w="2551" w:type="dxa"/>
            <w:vAlign w:val="center"/>
          </w:tcPr>
          <w:p>
            <w:pPr>
              <w:pStyle w:val="12"/>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资金使用合规性</w:t>
            </w:r>
          </w:p>
        </w:tc>
        <w:tc>
          <w:tcPr>
            <w:tcW w:w="3430" w:type="dxa"/>
            <w:vAlign w:val="center"/>
          </w:tcPr>
          <w:p>
            <w:pPr>
              <w:pStyle w:val="12"/>
            </w:pPr>
            <w:r>
              <w:t>资金使用合规性</w:t>
            </w:r>
          </w:p>
        </w:tc>
        <w:tc>
          <w:tcPr>
            <w:tcW w:w="2551" w:type="dxa"/>
            <w:vAlign w:val="center"/>
          </w:tcPr>
          <w:p>
            <w:pPr>
              <w:pStyle w:val="12"/>
            </w:pPr>
            <w:r>
              <w:t>100%</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完成时间</w:t>
            </w:r>
          </w:p>
        </w:tc>
        <w:tc>
          <w:tcPr>
            <w:tcW w:w="3430" w:type="dxa"/>
            <w:vAlign w:val="center"/>
          </w:tcPr>
          <w:p>
            <w:pPr>
              <w:pStyle w:val="12"/>
            </w:pPr>
            <w:r>
              <w:t>完成时间</w:t>
            </w:r>
          </w:p>
        </w:tc>
        <w:tc>
          <w:tcPr>
            <w:tcW w:w="2551" w:type="dxa"/>
            <w:vAlign w:val="center"/>
          </w:tcPr>
          <w:p>
            <w:pPr>
              <w:pStyle w:val="12"/>
            </w:pPr>
            <w:r>
              <w:t>2025年9月底前</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投入资金</w:t>
            </w:r>
          </w:p>
        </w:tc>
        <w:tc>
          <w:tcPr>
            <w:tcW w:w="3430" w:type="dxa"/>
            <w:vAlign w:val="center"/>
          </w:tcPr>
          <w:p>
            <w:pPr>
              <w:pStyle w:val="12"/>
            </w:pPr>
            <w:r>
              <w:t>使用财政资金</w:t>
            </w:r>
          </w:p>
        </w:tc>
        <w:tc>
          <w:tcPr>
            <w:tcW w:w="2551" w:type="dxa"/>
            <w:vAlign w:val="center"/>
          </w:tcPr>
          <w:p>
            <w:pPr>
              <w:pStyle w:val="12"/>
            </w:pPr>
            <w:r>
              <w:t>≤500万元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世界智能产业博览会</w:t>
            </w:r>
          </w:p>
        </w:tc>
        <w:tc>
          <w:tcPr>
            <w:tcW w:w="3430" w:type="dxa"/>
            <w:vAlign w:val="center"/>
          </w:tcPr>
          <w:p>
            <w:pPr>
              <w:pStyle w:val="12"/>
            </w:pPr>
            <w:r>
              <w:t>世界智能产业博览会</w:t>
            </w:r>
          </w:p>
        </w:tc>
        <w:tc>
          <w:tcPr>
            <w:tcW w:w="2551" w:type="dxa"/>
            <w:vAlign w:val="center"/>
          </w:tcPr>
          <w:p>
            <w:pPr>
              <w:pStyle w:val="12"/>
            </w:pPr>
            <w:r>
              <w:t>顺利成功举办</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我市产业形象</w:t>
            </w:r>
          </w:p>
        </w:tc>
        <w:tc>
          <w:tcPr>
            <w:tcW w:w="3430" w:type="dxa"/>
            <w:vAlign w:val="center"/>
          </w:tcPr>
          <w:p>
            <w:pPr>
              <w:pStyle w:val="12"/>
            </w:pPr>
            <w:r>
              <w:t>我市产业形象</w:t>
            </w:r>
          </w:p>
        </w:tc>
        <w:tc>
          <w:tcPr>
            <w:tcW w:w="2551" w:type="dxa"/>
            <w:vAlign w:val="center"/>
          </w:tcPr>
          <w:p>
            <w:pPr>
              <w:pStyle w:val="1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参会人员满意度</w:t>
            </w:r>
          </w:p>
        </w:tc>
        <w:tc>
          <w:tcPr>
            <w:tcW w:w="3430" w:type="dxa"/>
            <w:vAlign w:val="center"/>
          </w:tcPr>
          <w:p>
            <w:pPr>
              <w:pStyle w:val="12"/>
            </w:pPr>
            <w:r>
              <w:t>参会人员满意度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 w:name="_Toc_4_4_0000000006"/>
      <w:r>
        <w:rPr>
          <w:rFonts w:ascii="方正仿宋_GBK" w:hAnsi="方正仿宋_GBK" w:eastAsia="方正仿宋_GBK" w:cs="方正仿宋_GBK"/>
          <w:sz w:val="28"/>
        </w:rPr>
        <w:t>3.电力需求侧管理专项资金绩效目标表</w:t>
      </w:r>
      <w:bookmarkEnd w:id="2"/>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电力需求侧管理专项资金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645.00</w:t>
            </w:r>
          </w:p>
        </w:tc>
        <w:tc>
          <w:tcPr>
            <w:tcW w:w="1587" w:type="dxa"/>
            <w:vAlign w:val="center"/>
          </w:tcPr>
          <w:p>
            <w:pPr>
              <w:pStyle w:val="13"/>
            </w:pPr>
            <w:r>
              <w:t>其中：财政    资金</w:t>
            </w:r>
          </w:p>
        </w:tc>
        <w:tc>
          <w:tcPr>
            <w:tcW w:w="1843" w:type="dxa"/>
            <w:vAlign w:val="center"/>
          </w:tcPr>
          <w:p>
            <w:pPr>
              <w:pStyle w:val="12"/>
            </w:pPr>
            <w:r>
              <w:t>645.00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拨付电力需求响应补贴资金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加强电力需求侧管理，支持电力需求响应，视电力供需情况启动，按实际贡献补贴参与主体，实现削峰填谷，促进电力供需平衡，深化电力负荷管理，推进新型电力负荷管理系统建设，增强用电监测调控能力，促进电力安全保供，支持引导用户科学用电、节约用电、错峰用电。</w:t>
            </w: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电力需求响应能力占最大负荷比例</w:t>
            </w:r>
          </w:p>
        </w:tc>
        <w:tc>
          <w:tcPr>
            <w:tcW w:w="3430" w:type="dxa"/>
            <w:vAlign w:val="center"/>
          </w:tcPr>
          <w:p>
            <w:pPr>
              <w:pStyle w:val="12"/>
            </w:pPr>
            <w:r>
              <w:t>电力需求响应能力占最大负荷比例</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系统负荷控制能力占最大负荷比例</w:t>
            </w:r>
          </w:p>
        </w:tc>
        <w:tc>
          <w:tcPr>
            <w:tcW w:w="3430" w:type="dxa"/>
            <w:vAlign w:val="center"/>
          </w:tcPr>
          <w:p>
            <w:pPr>
              <w:pStyle w:val="12"/>
            </w:pPr>
            <w:r>
              <w:t>系统负荷控制能力占最大负荷比例</w:t>
            </w:r>
          </w:p>
        </w:tc>
        <w:tc>
          <w:tcPr>
            <w:tcW w:w="2551" w:type="dxa"/>
            <w:vAlign w:val="center"/>
          </w:tcPr>
          <w:p>
            <w:pPr>
              <w:pStyle w:val="12"/>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负荷监测能力占最大负荷比例</w:t>
            </w:r>
          </w:p>
        </w:tc>
        <w:tc>
          <w:tcPr>
            <w:tcW w:w="3430" w:type="dxa"/>
            <w:vAlign w:val="center"/>
          </w:tcPr>
          <w:p>
            <w:pPr>
              <w:pStyle w:val="12"/>
            </w:pPr>
            <w:r>
              <w:t>负荷监测能力占最大负荷比例</w:t>
            </w:r>
          </w:p>
        </w:tc>
        <w:tc>
          <w:tcPr>
            <w:tcW w:w="2551" w:type="dxa"/>
            <w:vAlign w:val="center"/>
          </w:tcPr>
          <w:p>
            <w:pPr>
              <w:pStyle w:val="12"/>
            </w:pPr>
            <w: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财政资金拨付合规性 </w:t>
            </w:r>
          </w:p>
        </w:tc>
        <w:tc>
          <w:tcPr>
            <w:tcW w:w="3430" w:type="dxa"/>
            <w:vAlign w:val="center"/>
          </w:tcPr>
          <w:p>
            <w:pPr>
              <w:pStyle w:val="12"/>
            </w:pPr>
            <w:r>
              <w:t xml:space="preserve">财政资金拨付合规性 </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资金拨付时间 </w:t>
            </w:r>
          </w:p>
        </w:tc>
        <w:tc>
          <w:tcPr>
            <w:tcW w:w="3430" w:type="dxa"/>
            <w:vAlign w:val="center"/>
          </w:tcPr>
          <w:p>
            <w:pPr>
              <w:pStyle w:val="12"/>
            </w:pPr>
            <w:r>
              <w:t xml:space="preserve">资金拨付时间 </w:t>
            </w:r>
          </w:p>
        </w:tc>
        <w:tc>
          <w:tcPr>
            <w:tcW w:w="2551" w:type="dxa"/>
            <w:vAlign w:val="center"/>
          </w:tcPr>
          <w:p>
            <w:pPr>
              <w:pStyle w:val="12"/>
            </w:pPr>
            <w:r>
              <w:t xml:space="preserve">2025年12月底前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填谷补贴标准</w:t>
            </w:r>
          </w:p>
        </w:tc>
        <w:tc>
          <w:tcPr>
            <w:tcW w:w="3430" w:type="dxa"/>
            <w:vAlign w:val="center"/>
          </w:tcPr>
          <w:p>
            <w:pPr>
              <w:pStyle w:val="12"/>
            </w:pPr>
            <w:r>
              <w:t>填谷补贴标准</w:t>
            </w:r>
          </w:p>
        </w:tc>
        <w:tc>
          <w:tcPr>
            <w:tcW w:w="2551" w:type="dxa"/>
            <w:vAlign w:val="center"/>
          </w:tcPr>
          <w:p>
            <w:pPr>
              <w:pStyle w:val="12"/>
            </w:pPr>
            <w:r>
              <w:t>≤2元/千瓦时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削峰补贴标准</w:t>
            </w:r>
          </w:p>
        </w:tc>
        <w:tc>
          <w:tcPr>
            <w:tcW w:w="3430" w:type="dxa"/>
            <w:vAlign w:val="center"/>
          </w:tcPr>
          <w:p>
            <w:pPr>
              <w:pStyle w:val="12"/>
            </w:pPr>
            <w:r>
              <w:t>削峰补贴标准</w:t>
            </w:r>
          </w:p>
        </w:tc>
        <w:tc>
          <w:tcPr>
            <w:tcW w:w="2551" w:type="dxa"/>
            <w:vAlign w:val="center"/>
          </w:tcPr>
          <w:p>
            <w:pPr>
              <w:pStyle w:val="12"/>
            </w:pPr>
            <w:r>
              <w:t>≤10元/千瓦时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促进电力平衡，增强用电灵活性</w:t>
            </w:r>
          </w:p>
        </w:tc>
        <w:tc>
          <w:tcPr>
            <w:tcW w:w="3430" w:type="dxa"/>
            <w:vAlign w:val="center"/>
          </w:tcPr>
          <w:p>
            <w:pPr>
              <w:pStyle w:val="12"/>
            </w:pPr>
            <w:r>
              <w:t>促进电力平衡，增强用电灵活性</w:t>
            </w:r>
          </w:p>
        </w:tc>
        <w:tc>
          <w:tcPr>
            <w:tcW w:w="2551" w:type="dxa"/>
            <w:vAlign w:val="center"/>
          </w:tcPr>
          <w:p>
            <w:pPr>
              <w:pStyle w:val="12"/>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补助对象满意度</w:t>
            </w:r>
          </w:p>
        </w:tc>
        <w:tc>
          <w:tcPr>
            <w:tcW w:w="3430" w:type="dxa"/>
            <w:vAlign w:val="center"/>
          </w:tcPr>
          <w:p>
            <w:pPr>
              <w:pStyle w:val="12"/>
            </w:pPr>
            <w:r>
              <w:t>补助对象满意度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3" w:name="_Toc_4_4_0000000007"/>
      <w:r>
        <w:rPr>
          <w:rFonts w:ascii="方正仿宋_GBK" w:hAnsi="方正仿宋_GBK" w:eastAsia="方正仿宋_GBK" w:cs="方正仿宋_GBK"/>
          <w:sz w:val="28"/>
        </w:rPr>
        <w:t>4.购买保密设备设施等绩效目标表</w:t>
      </w:r>
      <w:bookmarkEnd w:id="3"/>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购买保密设备设施等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w:t>
            </w:r>
          </w:p>
        </w:tc>
        <w:tc>
          <w:tcPr>
            <w:tcW w:w="1587" w:type="dxa"/>
            <w:vAlign w:val="center"/>
          </w:tcPr>
          <w:p>
            <w:pPr>
              <w:pStyle w:val="13"/>
            </w:pPr>
            <w:r>
              <w:t>其中：财政    资金</w:t>
            </w:r>
          </w:p>
        </w:tc>
        <w:tc>
          <w:tcPr>
            <w:tcW w:w="1843" w:type="dxa"/>
            <w:vAlign w:val="center"/>
          </w:tcPr>
          <w:p>
            <w:pPr>
              <w:pStyle w:val="12"/>
            </w:pPr>
            <w:r>
              <w:t>30.00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购买保密设备设施等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1.根据各处室工作职责和任务需求配置涉密设备、在保密要害部位安装安全防护产品，可有效防范失泄密风险隐患，进一步规范和提高机关保密工作管理水平，确保国家秘密安全。</w:t>
            </w: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购买批次</w:t>
            </w:r>
          </w:p>
        </w:tc>
        <w:tc>
          <w:tcPr>
            <w:tcW w:w="3430" w:type="dxa"/>
            <w:vAlign w:val="center"/>
          </w:tcPr>
          <w:p>
            <w:pPr>
              <w:pStyle w:val="12"/>
            </w:pPr>
            <w:r>
              <w:t>购买批次</w:t>
            </w:r>
          </w:p>
        </w:tc>
        <w:tc>
          <w:tcPr>
            <w:tcW w:w="2551" w:type="dxa"/>
            <w:vAlign w:val="center"/>
          </w:tcPr>
          <w:p>
            <w:pPr>
              <w:pStyle w:val="12"/>
            </w:pPr>
            <w:r>
              <w:t>≥1批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设备合格率</w:t>
            </w:r>
          </w:p>
        </w:tc>
        <w:tc>
          <w:tcPr>
            <w:tcW w:w="3430" w:type="dxa"/>
            <w:vAlign w:val="center"/>
          </w:tcPr>
          <w:p>
            <w:pPr>
              <w:pStyle w:val="12"/>
            </w:pPr>
            <w:r>
              <w:t>设备合格率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按照合同完成检测率</w:t>
            </w:r>
          </w:p>
        </w:tc>
        <w:tc>
          <w:tcPr>
            <w:tcW w:w="3430" w:type="dxa"/>
            <w:vAlign w:val="center"/>
          </w:tcPr>
          <w:p>
            <w:pPr>
              <w:pStyle w:val="12"/>
            </w:pPr>
            <w:r>
              <w:t>按照合同完成检测率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购置完成时间</w:t>
            </w:r>
          </w:p>
        </w:tc>
        <w:tc>
          <w:tcPr>
            <w:tcW w:w="3430" w:type="dxa"/>
            <w:vAlign w:val="center"/>
          </w:tcPr>
          <w:p>
            <w:pPr>
              <w:pStyle w:val="12"/>
            </w:pPr>
            <w:r>
              <w:t>购置完成时间</w:t>
            </w:r>
          </w:p>
        </w:tc>
        <w:tc>
          <w:tcPr>
            <w:tcW w:w="2551" w:type="dxa"/>
            <w:vAlign w:val="center"/>
          </w:tcPr>
          <w:p>
            <w:pPr>
              <w:pStyle w:val="12"/>
            </w:pPr>
            <w:r>
              <w:t>2025年底前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购置成本</w:t>
            </w:r>
          </w:p>
        </w:tc>
        <w:tc>
          <w:tcPr>
            <w:tcW w:w="3430" w:type="dxa"/>
            <w:vAlign w:val="center"/>
          </w:tcPr>
          <w:p>
            <w:pPr>
              <w:pStyle w:val="12"/>
            </w:pPr>
            <w:r>
              <w:t>购置成本</w:t>
            </w:r>
          </w:p>
        </w:tc>
        <w:tc>
          <w:tcPr>
            <w:tcW w:w="2551" w:type="dxa"/>
            <w:vAlign w:val="center"/>
          </w:tcPr>
          <w:p>
            <w:pPr>
              <w:pStyle w:val="12"/>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保密设备使用</w:t>
            </w:r>
          </w:p>
        </w:tc>
        <w:tc>
          <w:tcPr>
            <w:tcW w:w="3430" w:type="dxa"/>
            <w:vAlign w:val="center"/>
          </w:tcPr>
          <w:p>
            <w:pPr>
              <w:pStyle w:val="12"/>
            </w:pPr>
            <w:r>
              <w:t>保密设备使用</w:t>
            </w:r>
          </w:p>
        </w:tc>
        <w:tc>
          <w:tcPr>
            <w:tcW w:w="2551" w:type="dxa"/>
            <w:vAlign w:val="center"/>
          </w:tcPr>
          <w:p>
            <w:pPr>
              <w:pStyle w:val="12"/>
            </w:pPr>
            <w:r>
              <w:t>设备严格根据保密要求购置，符合保密要求，全部达成预期指标，持续提高保密管理水平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失泄密风险隐患</w:t>
            </w:r>
          </w:p>
        </w:tc>
        <w:tc>
          <w:tcPr>
            <w:tcW w:w="3430" w:type="dxa"/>
            <w:vAlign w:val="center"/>
          </w:tcPr>
          <w:p>
            <w:pPr>
              <w:pStyle w:val="12"/>
            </w:pPr>
            <w:r>
              <w:t>失泄密风险隐患</w:t>
            </w:r>
          </w:p>
        </w:tc>
        <w:tc>
          <w:tcPr>
            <w:tcW w:w="2551" w:type="dxa"/>
            <w:vAlign w:val="center"/>
          </w:tcPr>
          <w:p>
            <w:pPr>
              <w:pStyle w:val="12"/>
            </w:pPr>
            <w:r>
              <w:t>有效降低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处室使用满意度</w:t>
            </w:r>
          </w:p>
        </w:tc>
        <w:tc>
          <w:tcPr>
            <w:tcW w:w="3430" w:type="dxa"/>
            <w:vAlign w:val="center"/>
          </w:tcPr>
          <w:p>
            <w:pPr>
              <w:pStyle w:val="12"/>
            </w:pPr>
            <w:r>
              <w:t>处室使用满意度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08"/>
      <w:r>
        <w:rPr>
          <w:rFonts w:ascii="方正仿宋_GBK" w:hAnsi="方正仿宋_GBK" w:eastAsia="方正仿宋_GBK" w:cs="方正仿宋_GBK"/>
          <w:sz w:val="28"/>
        </w:rPr>
        <w:t>5.计算机技术与软件专业技术资格（水平）考试绩效目标表</w:t>
      </w:r>
      <w:bookmarkEnd w:id="4"/>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计算机技术与软件专业技术资格（水平）考试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122.00</w:t>
            </w:r>
          </w:p>
        </w:tc>
        <w:tc>
          <w:tcPr>
            <w:tcW w:w="1587" w:type="dxa"/>
            <w:vAlign w:val="center"/>
          </w:tcPr>
          <w:p>
            <w:pPr>
              <w:pStyle w:val="13"/>
            </w:pPr>
            <w:r>
              <w:t>其中：财政    资金</w:t>
            </w:r>
          </w:p>
        </w:tc>
        <w:tc>
          <w:tcPr>
            <w:tcW w:w="1843" w:type="dxa"/>
            <w:vAlign w:val="center"/>
          </w:tcPr>
          <w:p>
            <w:pPr>
              <w:pStyle w:val="12"/>
            </w:pPr>
            <w:r>
              <w:t>122.00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返还全国计算机考试费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1、科学、公正地对全国计算机与软件专业技术人员进行职业资格、专业技术资格认定和专业技术水平测试；</w:t>
            </w:r>
          </w:p>
          <w:p>
            <w:pPr>
              <w:pStyle w:val="12"/>
            </w:pPr>
            <w:r>
              <w:t>2、推动我国信息产业特别是软件产业的发展和提高各类IT人才的素质的筛选。</w:t>
            </w: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服务考生人数</w:t>
            </w:r>
          </w:p>
        </w:tc>
        <w:tc>
          <w:tcPr>
            <w:tcW w:w="3430" w:type="dxa"/>
            <w:vAlign w:val="center"/>
          </w:tcPr>
          <w:p>
            <w:pPr>
              <w:pStyle w:val="12"/>
            </w:pPr>
            <w:r>
              <w:t>服务考生人数</w:t>
            </w:r>
          </w:p>
        </w:tc>
        <w:tc>
          <w:tcPr>
            <w:tcW w:w="2551" w:type="dxa"/>
            <w:vAlign w:val="center"/>
          </w:tcPr>
          <w:p>
            <w:pPr>
              <w:pStyle w:val="12"/>
            </w:pPr>
            <w:r>
              <w:t>≥8000人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上缴报名费准确率</w:t>
            </w:r>
          </w:p>
        </w:tc>
        <w:tc>
          <w:tcPr>
            <w:tcW w:w="3430" w:type="dxa"/>
            <w:vAlign w:val="center"/>
          </w:tcPr>
          <w:p>
            <w:pPr>
              <w:pStyle w:val="12"/>
            </w:pPr>
            <w:r>
              <w:t>上缴报名费准确率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 考试完成及时率</w:t>
            </w:r>
          </w:p>
        </w:tc>
        <w:tc>
          <w:tcPr>
            <w:tcW w:w="3430" w:type="dxa"/>
            <w:vAlign w:val="center"/>
          </w:tcPr>
          <w:p>
            <w:pPr>
              <w:pStyle w:val="12"/>
            </w:pPr>
            <w:r>
              <w:t xml:space="preserve"> 考试完成及时率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上缴报名费及时率</w:t>
            </w:r>
          </w:p>
        </w:tc>
        <w:tc>
          <w:tcPr>
            <w:tcW w:w="3430" w:type="dxa"/>
            <w:vAlign w:val="center"/>
          </w:tcPr>
          <w:p>
            <w:pPr>
              <w:pStyle w:val="12"/>
            </w:pPr>
            <w:r>
              <w:t>上缴报名费及时率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 项目资金使用金额</w:t>
            </w:r>
          </w:p>
        </w:tc>
        <w:tc>
          <w:tcPr>
            <w:tcW w:w="3430" w:type="dxa"/>
            <w:vAlign w:val="center"/>
          </w:tcPr>
          <w:p>
            <w:pPr>
              <w:pStyle w:val="12"/>
            </w:pPr>
            <w:r>
              <w:t xml:space="preserve"> 项目资金使用金额</w:t>
            </w:r>
          </w:p>
        </w:tc>
        <w:tc>
          <w:tcPr>
            <w:tcW w:w="2551" w:type="dxa"/>
            <w:vAlign w:val="center"/>
          </w:tcPr>
          <w:p>
            <w:pPr>
              <w:pStyle w:val="12"/>
            </w:pPr>
            <w:r>
              <w:t>≤122万元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考试公平公正</w:t>
            </w:r>
          </w:p>
        </w:tc>
        <w:tc>
          <w:tcPr>
            <w:tcW w:w="3430" w:type="dxa"/>
            <w:vAlign w:val="center"/>
          </w:tcPr>
          <w:p>
            <w:pPr>
              <w:pStyle w:val="12"/>
            </w:pPr>
            <w:r>
              <w:t>考试公平公正</w:t>
            </w:r>
          </w:p>
        </w:tc>
        <w:tc>
          <w:tcPr>
            <w:tcW w:w="2551" w:type="dxa"/>
            <w:vAlign w:val="center"/>
          </w:tcPr>
          <w:p>
            <w:pPr>
              <w:pStyle w:val="12"/>
            </w:pPr>
            <w:r>
              <w:t>通过精心组织、使用专业设备，无考试事故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 xml:space="preserve"> 考生满意度</w:t>
            </w:r>
          </w:p>
        </w:tc>
        <w:tc>
          <w:tcPr>
            <w:tcW w:w="3430" w:type="dxa"/>
            <w:vAlign w:val="center"/>
          </w:tcPr>
          <w:p>
            <w:pPr>
              <w:pStyle w:val="12"/>
            </w:pPr>
            <w:r>
              <w:t xml:space="preserve"> 考生满意度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009"/>
      <w:r>
        <w:rPr>
          <w:rFonts w:ascii="方正仿宋_GBK" w:hAnsi="方正仿宋_GBK" w:eastAsia="方正仿宋_GBK" w:cs="方正仿宋_GBK"/>
          <w:sz w:val="28"/>
        </w:rPr>
        <w:t>6.节能减排补助资金——中央绩效目标表</w:t>
      </w:r>
      <w:bookmarkEnd w:id="5"/>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节能减排补助资金——中央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6998.00</w:t>
            </w:r>
          </w:p>
        </w:tc>
        <w:tc>
          <w:tcPr>
            <w:tcW w:w="1587" w:type="dxa"/>
            <w:vAlign w:val="center"/>
          </w:tcPr>
          <w:p>
            <w:pPr>
              <w:pStyle w:val="13"/>
            </w:pPr>
            <w:r>
              <w:t>其中：财政    资金</w:t>
            </w:r>
          </w:p>
        </w:tc>
        <w:tc>
          <w:tcPr>
            <w:tcW w:w="1843" w:type="dxa"/>
            <w:vAlign w:val="center"/>
          </w:tcPr>
          <w:p>
            <w:pPr>
              <w:pStyle w:val="12"/>
            </w:pPr>
            <w:r>
              <w:t>6998.00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拨付新能源汽车推广补贴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1.支持符合补贴政策要求的新能源汽车产品推广应用，进一步扩大新能源汽车产品消费；</w:t>
            </w:r>
          </w:p>
          <w:p>
            <w:pPr>
              <w:pStyle w:val="12"/>
            </w:pPr>
            <w:r>
              <w:t>2.对符合条件的城市开展燃料电池汽车关键核心技术产业化攻关和示范应用给予奖励，形成布局合理、各有侧重、协同推进的燃料电池汽车发展新模式。</w:t>
            </w: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燃料电池汽车示范城市群到第二年度累计取得技术 突破并产业化的基础材料、关键零部件的项数</w:t>
            </w:r>
          </w:p>
        </w:tc>
        <w:tc>
          <w:tcPr>
            <w:tcW w:w="3430" w:type="dxa"/>
            <w:vAlign w:val="center"/>
          </w:tcPr>
          <w:p>
            <w:pPr>
              <w:pStyle w:val="12"/>
            </w:pPr>
            <w:r>
              <w:t>燃料电池汽车示范城市群到第二年度累计取得技术 突破并产业化的基础材料、关键零部件的项数</w:t>
            </w:r>
          </w:p>
        </w:tc>
        <w:tc>
          <w:tcPr>
            <w:tcW w:w="2551" w:type="dxa"/>
            <w:vAlign w:val="center"/>
          </w:tcPr>
          <w:p>
            <w:pPr>
              <w:pStyle w:val="12"/>
            </w:pPr>
            <w:r>
              <w:t>≥4项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有运营里程要求的车辆满足要求比例</w:t>
            </w:r>
          </w:p>
        </w:tc>
        <w:tc>
          <w:tcPr>
            <w:tcW w:w="3430" w:type="dxa"/>
            <w:vAlign w:val="center"/>
          </w:tcPr>
          <w:p>
            <w:pPr>
              <w:pStyle w:val="12"/>
            </w:pPr>
            <w:r>
              <w:t>有运营里程要求的车辆满足要求比例</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车辆纳入新能源汽车国家监管平台比例</w:t>
            </w:r>
          </w:p>
        </w:tc>
        <w:tc>
          <w:tcPr>
            <w:tcW w:w="3430" w:type="dxa"/>
            <w:vAlign w:val="center"/>
          </w:tcPr>
          <w:p>
            <w:pPr>
              <w:pStyle w:val="12"/>
            </w:pPr>
            <w:r>
              <w:t>车辆纳入新能源汽车国家监管平台比例</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车辆技术参数与新能源汽车推广应用推荐车型目录 参数一致性</w:t>
            </w:r>
          </w:p>
        </w:tc>
        <w:tc>
          <w:tcPr>
            <w:tcW w:w="3430" w:type="dxa"/>
            <w:vAlign w:val="center"/>
          </w:tcPr>
          <w:p>
            <w:pPr>
              <w:pStyle w:val="12"/>
            </w:pPr>
            <w:r>
              <w:t>车辆技术参数与新能源汽车推广应用推荐车型目录 参数一致性</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燃料电池汽车示范车辆符合《关于开展燃料电池汽 车示范应用的通知》(财建〔2020〕394号)技术要求的比例</w:t>
            </w:r>
          </w:p>
        </w:tc>
        <w:tc>
          <w:tcPr>
            <w:tcW w:w="3430" w:type="dxa"/>
            <w:vAlign w:val="center"/>
          </w:tcPr>
          <w:p>
            <w:pPr>
              <w:pStyle w:val="12"/>
            </w:pPr>
            <w:r>
              <w:t>燃料电池汽车示范车辆符合《关于开展燃料电池汽 车示范应用的通知》(财建〔2020〕394号)技术要求的比例</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氢能及燃料电池汽车政策制度环境</w:t>
            </w:r>
          </w:p>
        </w:tc>
        <w:tc>
          <w:tcPr>
            <w:tcW w:w="3430" w:type="dxa"/>
            <w:vAlign w:val="center"/>
          </w:tcPr>
          <w:p>
            <w:pPr>
              <w:pStyle w:val="12"/>
            </w:pPr>
            <w:r>
              <w:t>氢能及燃料电池汽车政策制度环境</w:t>
            </w:r>
          </w:p>
        </w:tc>
        <w:tc>
          <w:tcPr>
            <w:tcW w:w="2551" w:type="dxa"/>
            <w:vAlign w:val="center"/>
          </w:tcPr>
          <w:p>
            <w:pPr>
              <w:pStyle w:val="12"/>
            </w:pPr>
            <w:r>
              <w:t>有所改善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补贴资金发放及时率</w:t>
            </w:r>
          </w:p>
        </w:tc>
        <w:tc>
          <w:tcPr>
            <w:tcW w:w="3430" w:type="dxa"/>
            <w:vAlign w:val="center"/>
          </w:tcPr>
          <w:p>
            <w:pPr>
              <w:pStyle w:val="12"/>
            </w:pPr>
            <w:r>
              <w:t>补贴资金发放及时率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总体预算投入</w:t>
            </w:r>
          </w:p>
        </w:tc>
        <w:tc>
          <w:tcPr>
            <w:tcW w:w="3430" w:type="dxa"/>
            <w:vAlign w:val="center"/>
          </w:tcPr>
          <w:p>
            <w:pPr>
              <w:pStyle w:val="12"/>
            </w:pPr>
            <w:r>
              <w:t>总体预算投入</w:t>
            </w:r>
          </w:p>
        </w:tc>
        <w:tc>
          <w:tcPr>
            <w:tcW w:w="2551" w:type="dxa"/>
            <w:vAlign w:val="center"/>
          </w:tcPr>
          <w:p>
            <w:pPr>
              <w:pStyle w:val="12"/>
            </w:pPr>
            <w:r>
              <w:t>≤6998万元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新能源汽车产业发展</w:t>
            </w:r>
          </w:p>
        </w:tc>
        <w:tc>
          <w:tcPr>
            <w:tcW w:w="3430" w:type="dxa"/>
            <w:vAlign w:val="center"/>
          </w:tcPr>
          <w:p>
            <w:pPr>
              <w:pStyle w:val="12"/>
            </w:pPr>
            <w:r>
              <w:t>新能源汽车产业发展</w:t>
            </w:r>
          </w:p>
        </w:tc>
        <w:tc>
          <w:tcPr>
            <w:tcW w:w="2551" w:type="dxa"/>
            <w:vAlign w:val="center"/>
          </w:tcPr>
          <w:p>
            <w:pPr>
              <w:pStyle w:val="12"/>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社会认可度</w:t>
            </w:r>
          </w:p>
        </w:tc>
        <w:tc>
          <w:tcPr>
            <w:tcW w:w="3430" w:type="dxa"/>
            <w:vAlign w:val="center"/>
          </w:tcPr>
          <w:p>
            <w:pPr>
              <w:pStyle w:val="12"/>
            </w:pPr>
            <w:r>
              <w:t>社会认可度</w:t>
            </w:r>
          </w:p>
        </w:tc>
        <w:tc>
          <w:tcPr>
            <w:tcW w:w="2551" w:type="dxa"/>
            <w:vAlign w:val="center"/>
          </w:tcPr>
          <w:p>
            <w:pPr>
              <w:pStyle w:val="12"/>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节能减排效果</w:t>
            </w:r>
          </w:p>
        </w:tc>
        <w:tc>
          <w:tcPr>
            <w:tcW w:w="3430" w:type="dxa"/>
            <w:vAlign w:val="center"/>
          </w:tcPr>
          <w:p>
            <w:pPr>
              <w:pStyle w:val="12"/>
            </w:pPr>
            <w:r>
              <w:t>节能减排效果</w:t>
            </w:r>
          </w:p>
        </w:tc>
        <w:tc>
          <w:tcPr>
            <w:tcW w:w="2551" w:type="dxa"/>
            <w:vAlign w:val="center"/>
          </w:tcPr>
          <w:p>
            <w:pPr>
              <w:pStyle w:val="12"/>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受益企业、群众满意度</w:t>
            </w:r>
          </w:p>
        </w:tc>
        <w:tc>
          <w:tcPr>
            <w:tcW w:w="3430" w:type="dxa"/>
            <w:vAlign w:val="center"/>
          </w:tcPr>
          <w:p>
            <w:pPr>
              <w:pStyle w:val="12"/>
            </w:pPr>
            <w:r>
              <w:t>受益企业、群众满意度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010"/>
      <w:r>
        <w:rPr>
          <w:rFonts w:ascii="方正仿宋_GBK" w:hAnsi="方正仿宋_GBK" w:eastAsia="方正仿宋_GBK" w:cs="方正仿宋_GBK"/>
          <w:sz w:val="28"/>
        </w:rPr>
        <w:t>7.京津冀产业链供应链大会项目绩效目标表</w:t>
      </w:r>
      <w:bookmarkEnd w:id="6"/>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京津冀产业链供应链大会项目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353.00</w:t>
            </w:r>
          </w:p>
        </w:tc>
        <w:tc>
          <w:tcPr>
            <w:tcW w:w="1587" w:type="dxa"/>
            <w:vAlign w:val="center"/>
          </w:tcPr>
          <w:p>
            <w:pPr>
              <w:pStyle w:val="13"/>
            </w:pPr>
            <w:r>
              <w:t>其中：财政    资金</w:t>
            </w:r>
          </w:p>
        </w:tc>
        <w:tc>
          <w:tcPr>
            <w:tcW w:w="1843" w:type="dxa"/>
            <w:vAlign w:val="center"/>
          </w:tcPr>
          <w:p>
            <w:pPr>
              <w:pStyle w:val="12"/>
            </w:pPr>
            <w:r>
              <w:t>353.00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拨付京津冀产业链供应链大会项目资金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1.通过举办开幕式、产业链对接活动等系列活动，推动京津冀产业链供应链融合发展，提升京津冀产业链配套水平，构筑京津冀面向全球招商推介与资源聚合平台。</w:t>
            </w: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举办产业链供应链大会</w:t>
            </w:r>
          </w:p>
        </w:tc>
        <w:tc>
          <w:tcPr>
            <w:tcW w:w="3430" w:type="dxa"/>
            <w:vAlign w:val="center"/>
          </w:tcPr>
          <w:p>
            <w:pPr>
              <w:pStyle w:val="12"/>
            </w:pPr>
            <w:r>
              <w:t>举办产业链供应链大会</w:t>
            </w:r>
          </w:p>
        </w:tc>
        <w:tc>
          <w:tcPr>
            <w:tcW w:w="2551" w:type="dxa"/>
            <w:vAlign w:val="center"/>
          </w:tcPr>
          <w:p>
            <w:pPr>
              <w:pStyle w:val="12"/>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举办主题推介活动</w:t>
            </w:r>
          </w:p>
        </w:tc>
        <w:tc>
          <w:tcPr>
            <w:tcW w:w="3430" w:type="dxa"/>
            <w:vAlign w:val="center"/>
          </w:tcPr>
          <w:p>
            <w:pPr>
              <w:pStyle w:val="12"/>
            </w:pPr>
            <w:r>
              <w:t>举办主题推介活动</w:t>
            </w:r>
          </w:p>
        </w:tc>
        <w:tc>
          <w:tcPr>
            <w:tcW w:w="2551" w:type="dxa"/>
            <w:vAlign w:val="center"/>
          </w:tcPr>
          <w:p>
            <w:pPr>
              <w:pStyle w:val="12"/>
            </w:pPr>
            <w:r>
              <w:t>≥3场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资金使用合规性</w:t>
            </w:r>
          </w:p>
        </w:tc>
        <w:tc>
          <w:tcPr>
            <w:tcW w:w="3430" w:type="dxa"/>
            <w:vAlign w:val="center"/>
          </w:tcPr>
          <w:p>
            <w:pPr>
              <w:pStyle w:val="12"/>
            </w:pPr>
            <w:r>
              <w:t>资金使用合规性</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完成时间</w:t>
            </w:r>
          </w:p>
        </w:tc>
        <w:tc>
          <w:tcPr>
            <w:tcW w:w="3430" w:type="dxa"/>
            <w:vAlign w:val="center"/>
          </w:tcPr>
          <w:p>
            <w:pPr>
              <w:pStyle w:val="12"/>
            </w:pPr>
            <w:r>
              <w:t>完成时间</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开幕式活动</w:t>
            </w:r>
          </w:p>
        </w:tc>
        <w:tc>
          <w:tcPr>
            <w:tcW w:w="3430" w:type="dxa"/>
            <w:vAlign w:val="center"/>
          </w:tcPr>
          <w:p>
            <w:pPr>
              <w:pStyle w:val="12"/>
            </w:pPr>
            <w:r>
              <w:t>开幕式活动</w:t>
            </w:r>
          </w:p>
        </w:tc>
        <w:tc>
          <w:tcPr>
            <w:tcW w:w="2551" w:type="dxa"/>
            <w:vAlign w:val="center"/>
          </w:tcPr>
          <w:p>
            <w:pPr>
              <w:pStyle w:val="12"/>
            </w:pPr>
            <w:r>
              <w:t>≤120.68万元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产业链对接活动</w:t>
            </w:r>
          </w:p>
        </w:tc>
        <w:tc>
          <w:tcPr>
            <w:tcW w:w="3430" w:type="dxa"/>
            <w:vAlign w:val="center"/>
          </w:tcPr>
          <w:p>
            <w:pPr>
              <w:pStyle w:val="12"/>
            </w:pPr>
            <w:r>
              <w:t>产业链对接活动</w:t>
            </w:r>
          </w:p>
        </w:tc>
        <w:tc>
          <w:tcPr>
            <w:tcW w:w="2551" w:type="dxa"/>
            <w:vAlign w:val="center"/>
          </w:tcPr>
          <w:p>
            <w:pPr>
              <w:pStyle w:val="12"/>
            </w:pPr>
            <w:r>
              <w:t>≤53.05万元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场馆租赁费</w:t>
            </w:r>
          </w:p>
        </w:tc>
        <w:tc>
          <w:tcPr>
            <w:tcW w:w="3430" w:type="dxa"/>
            <w:vAlign w:val="center"/>
          </w:tcPr>
          <w:p>
            <w:pPr>
              <w:pStyle w:val="12"/>
            </w:pPr>
            <w:r>
              <w:t>场馆租赁费</w:t>
            </w:r>
          </w:p>
        </w:tc>
        <w:tc>
          <w:tcPr>
            <w:tcW w:w="2551" w:type="dxa"/>
            <w:vAlign w:val="center"/>
          </w:tcPr>
          <w:p>
            <w:pPr>
              <w:pStyle w:val="12"/>
            </w:pPr>
            <w:r>
              <w:t>≤62.33万元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会务保障费用</w:t>
            </w:r>
          </w:p>
        </w:tc>
        <w:tc>
          <w:tcPr>
            <w:tcW w:w="3430" w:type="dxa"/>
            <w:vAlign w:val="center"/>
          </w:tcPr>
          <w:p>
            <w:pPr>
              <w:pStyle w:val="12"/>
            </w:pPr>
            <w:r>
              <w:t>会务保障费用</w:t>
            </w:r>
          </w:p>
        </w:tc>
        <w:tc>
          <w:tcPr>
            <w:tcW w:w="2551" w:type="dxa"/>
            <w:vAlign w:val="center"/>
          </w:tcPr>
          <w:p>
            <w:pPr>
              <w:pStyle w:val="12"/>
            </w:pPr>
            <w:r>
              <w:t>≤78.01万元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宣传推广活动</w:t>
            </w:r>
          </w:p>
        </w:tc>
        <w:tc>
          <w:tcPr>
            <w:tcW w:w="3430" w:type="dxa"/>
            <w:vAlign w:val="center"/>
          </w:tcPr>
          <w:p>
            <w:pPr>
              <w:pStyle w:val="12"/>
            </w:pPr>
            <w:r>
              <w:t>宣传推广活动</w:t>
            </w:r>
          </w:p>
        </w:tc>
        <w:tc>
          <w:tcPr>
            <w:tcW w:w="2551" w:type="dxa"/>
            <w:vAlign w:val="center"/>
          </w:tcPr>
          <w:p>
            <w:pPr>
              <w:pStyle w:val="12"/>
            </w:pPr>
            <w:r>
              <w:t>≤15.9万元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安保医疗等费用</w:t>
            </w:r>
          </w:p>
        </w:tc>
        <w:tc>
          <w:tcPr>
            <w:tcW w:w="3430" w:type="dxa"/>
            <w:vAlign w:val="center"/>
          </w:tcPr>
          <w:p>
            <w:pPr>
              <w:pStyle w:val="12"/>
            </w:pPr>
            <w:r>
              <w:t>安保医疗等费用</w:t>
            </w:r>
          </w:p>
        </w:tc>
        <w:tc>
          <w:tcPr>
            <w:tcW w:w="2551" w:type="dxa"/>
            <w:vAlign w:val="center"/>
          </w:tcPr>
          <w:p>
            <w:pPr>
              <w:pStyle w:val="12"/>
            </w:pPr>
            <w:r>
              <w:t>≤23.03万元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合作成果</w:t>
            </w:r>
          </w:p>
        </w:tc>
        <w:tc>
          <w:tcPr>
            <w:tcW w:w="3430" w:type="dxa"/>
            <w:vAlign w:val="center"/>
          </w:tcPr>
          <w:p>
            <w:pPr>
              <w:pStyle w:val="12"/>
            </w:pPr>
            <w:r>
              <w:t>合作成果</w:t>
            </w:r>
          </w:p>
        </w:tc>
        <w:tc>
          <w:tcPr>
            <w:tcW w:w="2551" w:type="dxa"/>
            <w:vAlign w:val="center"/>
          </w:tcPr>
          <w:p>
            <w:pPr>
              <w:pStyle w:val="1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京津冀重点产业链生态圈</w:t>
            </w:r>
          </w:p>
        </w:tc>
        <w:tc>
          <w:tcPr>
            <w:tcW w:w="3430" w:type="dxa"/>
            <w:vAlign w:val="center"/>
          </w:tcPr>
          <w:p>
            <w:pPr>
              <w:pStyle w:val="12"/>
            </w:pPr>
            <w:r>
              <w:t>京津冀重点产业链生态圈</w:t>
            </w:r>
          </w:p>
        </w:tc>
        <w:tc>
          <w:tcPr>
            <w:tcW w:w="2551" w:type="dxa"/>
            <w:vAlign w:val="center"/>
          </w:tcPr>
          <w:p>
            <w:pPr>
              <w:pStyle w:val="12"/>
            </w:pPr>
            <w:r>
              <w:t>壮大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平台效应</w:t>
            </w:r>
          </w:p>
        </w:tc>
        <w:tc>
          <w:tcPr>
            <w:tcW w:w="3430" w:type="dxa"/>
            <w:vAlign w:val="center"/>
          </w:tcPr>
          <w:p>
            <w:pPr>
              <w:pStyle w:val="12"/>
            </w:pPr>
            <w:r>
              <w:t>平台效应</w:t>
            </w:r>
          </w:p>
        </w:tc>
        <w:tc>
          <w:tcPr>
            <w:tcW w:w="2551" w:type="dxa"/>
            <w:vAlign w:val="center"/>
          </w:tcPr>
          <w:p>
            <w:pPr>
              <w:pStyle w:val="12"/>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_4_4_0000000013"/>
      <w:r>
        <w:rPr>
          <w:rFonts w:hint="eastAsia" w:ascii="方正仿宋_GBK" w:hAnsi="方正仿宋_GBK" w:eastAsia="方正仿宋_GBK" w:cs="方正仿宋_GBK"/>
          <w:sz w:val="28"/>
          <w:lang w:val="en-US" w:eastAsia="zh-CN"/>
        </w:rPr>
        <w:t>8</w:t>
      </w:r>
      <w:r>
        <w:rPr>
          <w:rFonts w:ascii="方正仿宋_GBK" w:hAnsi="方正仿宋_GBK" w:eastAsia="方正仿宋_GBK" w:cs="方正仿宋_GBK"/>
          <w:sz w:val="28"/>
        </w:rPr>
        <w:t>.频率台站系统（行政许可相关功能）升级改造等级保护测评服务项目—中央绩效目标表</w:t>
      </w:r>
      <w:bookmarkEnd w:id="7"/>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频率台站系统（行政许可相关功能）升级改造等级保护测评服务项目—中央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9.50</w:t>
            </w:r>
          </w:p>
        </w:tc>
        <w:tc>
          <w:tcPr>
            <w:tcW w:w="1587" w:type="dxa"/>
            <w:vAlign w:val="center"/>
          </w:tcPr>
          <w:p>
            <w:pPr>
              <w:pStyle w:val="13"/>
            </w:pPr>
            <w:r>
              <w:t>其中：财政    资金</w:t>
            </w:r>
          </w:p>
        </w:tc>
        <w:tc>
          <w:tcPr>
            <w:tcW w:w="1843" w:type="dxa"/>
            <w:vAlign w:val="center"/>
          </w:tcPr>
          <w:p>
            <w:pPr>
              <w:pStyle w:val="12"/>
            </w:pPr>
            <w:r>
              <w:t>9.50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拨付等保测评相关费用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1.通过本次项目，完成对天津市天津市频率台站系统信息安全等级保护测评工作，堵塞网络漏洞，完善信息系统安全技术防护措施、安全管理制度和安全运维体系，进一步提高自身信息系统安全保护能力。</w:t>
            </w: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天津市频率台站系统（行政许可相关功能）升级改造等级保护测评产出数量</w:t>
            </w:r>
          </w:p>
        </w:tc>
        <w:tc>
          <w:tcPr>
            <w:tcW w:w="3430" w:type="dxa"/>
            <w:vAlign w:val="center"/>
          </w:tcPr>
          <w:p>
            <w:pPr>
              <w:pStyle w:val="12"/>
            </w:pPr>
            <w:r>
              <w:t>天津市频率台站系统（行政许可相关功能）升级改造等级保护测评产出数量</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系统等级保护测评完成率</w:t>
            </w:r>
          </w:p>
        </w:tc>
        <w:tc>
          <w:tcPr>
            <w:tcW w:w="3430" w:type="dxa"/>
            <w:vAlign w:val="center"/>
          </w:tcPr>
          <w:p>
            <w:pPr>
              <w:pStyle w:val="12"/>
            </w:pPr>
            <w:r>
              <w:t>系统等级保护测评完成率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拨付及时性</w:t>
            </w:r>
          </w:p>
        </w:tc>
        <w:tc>
          <w:tcPr>
            <w:tcW w:w="3430" w:type="dxa"/>
            <w:vAlign w:val="center"/>
          </w:tcPr>
          <w:p>
            <w:pPr>
              <w:pStyle w:val="12"/>
            </w:pPr>
            <w:r>
              <w:t>拨付及时性</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项目资金不超预算值 </w:t>
            </w:r>
          </w:p>
        </w:tc>
        <w:tc>
          <w:tcPr>
            <w:tcW w:w="3430" w:type="dxa"/>
            <w:vAlign w:val="center"/>
          </w:tcPr>
          <w:p>
            <w:pPr>
              <w:pStyle w:val="12"/>
            </w:pPr>
            <w:r>
              <w:t xml:space="preserve">项目资金不超预算值 </w:t>
            </w:r>
          </w:p>
        </w:tc>
        <w:tc>
          <w:tcPr>
            <w:tcW w:w="2551" w:type="dxa"/>
            <w:vAlign w:val="center"/>
          </w:tcPr>
          <w:p>
            <w:pPr>
              <w:pStyle w:val="12"/>
            </w:pPr>
            <w:r>
              <w:t>≤9.5万元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提高信息系统安全保护能力</w:t>
            </w:r>
          </w:p>
        </w:tc>
        <w:tc>
          <w:tcPr>
            <w:tcW w:w="3430" w:type="dxa"/>
            <w:vAlign w:val="center"/>
          </w:tcPr>
          <w:p>
            <w:pPr>
              <w:pStyle w:val="12"/>
            </w:pPr>
            <w:r>
              <w:t>提高信息系统安全保护能力</w:t>
            </w:r>
          </w:p>
        </w:tc>
        <w:tc>
          <w:tcPr>
            <w:tcW w:w="2551" w:type="dxa"/>
            <w:vAlign w:val="center"/>
          </w:tcPr>
          <w:p>
            <w:pPr>
              <w:pStyle w:val="12"/>
            </w:pPr>
            <w:r>
              <w:t>信息系统安全性得到有效提高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提高信息系统安全保护能力</w:t>
            </w:r>
          </w:p>
        </w:tc>
        <w:tc>
          <w:tcPr>
            <w:tcW w:w="3430" w:type="dxa"/>
            <w:vAlign w:val="center"/>
          </w:tcPr>
          <w:p>
            <w:pPr>
              <w:pStyle w:val="12"/>
            </w:pPr>
            <w:r>
              <w:t>提高信息系统安全保护能力</w:t>
            </w:r>
          </w:p>
        </w:tc>
        <w:tc>
          <w:tcPr>
            <w:tcW w:w="2551" w:type="dxa"/>
            <w:vAlign w:val="center"/>
          </w:tcPr>
          <w:p>
            <w:pPr>
              <w:pStyle w:val="12"/>
            </w:pPr>
            <w:r>
              <w:t>信息系统安全性得到有效提高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 xml:space="preserve">服务对象满意度 </w:t>
            </w:r>
          </w:p>
        </w:tc>
        <w:tc>
          <w:tcPr>
            <w:tcW w:w="3430" w:type="dxa"/>
            <w:vAlign w:val="center"/>
          </w:tcPr>
          <w:p>
            <w:pPr>
              <w:pStyle w:val="12"/>
            </w:pPr>
            <w:r>
              <w:t xml:space="preserve">服务对象满意度 </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8" w:name="_Toc_4_4_0000000014"/>
      <w:r>
        <w:rPr>
          <w:rFonts w:hint="eastAsia" w:ascii="方正仿宋_GBK" w:hAnsi="方正仿宋_GBK" w:eastAsia="方正仿宋_GBK" w:cs="方正仿宋_GBK"/>
          <w:sz w:val="28"/>
          <w:lang w:val="en-US" w:eastAsia="zh-CN"/>
        </w:rPr>
        <w:t>9</w:t>
      </w:r>
      <w:r>
        <w:rPr>
          <w:rFonts w:ascii="方正仿宋_GBK" w:hAnsi="方正仿宋_GBK" w:eastAsia="方正仿宋_GBK" w:cs="方正仿宋_GBK"/>
          <w:sz w:val="28"/>
        </w:rPr>
        <w:t>.市公共卫生应急物资储备库项目绩效目标表</w:t>
      </w:r>
      <w:bookmarkEnd w:id="8"/>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市公共卫生应急物资储备库项目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225.00</w:t>
            </w:r>
          </w:p>
        </w:tc>
        <w:tc>
          <w:tcPr>
            <w:tcW w:w="1587" w:type="dxa"/>
            <w:vAlign w:val="center"/>
          </w:tcPr>
          <w:p>
            <w:pPr>
              <w:pStyle w:val="13"/>
            </w:pPr>
            <w:r>
              <w:t>其中：财政    资金</w:t>
            </w:r>
          </w:p>
        </w:tc>
        <w:tc>
          <w:tcPr>
            <w:tcW w:w="1843" w:type="dxa"/>
            <w:vAlign w:val="center"/>
          </w:tcPr>
          <w:p>
            <w:pPr>
              <w:pStyle w:val="12"/>
            </w:pPr>
            <w:r>
              <w:t>225.00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拨付市级物资储备库运行资金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1.通过租用市级物资储备仓库，保障市级物资储备库正常运行。</w:t>
            </w: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租用仓库面积</w:t>
            </w:r>
          </w:p>
        </w:tc>
        <w:tc>
          <w:tcPr>
            <w:tcW w:w="3430" w:type="dxa"/>
            <w:vAlign w:val="center"/>
          </w:tcPr>
          <w:p>
            <w:pPr>
              <w:pStyle w:val="12"/>
            </w:pPr>
            <w:r>
              <w:t>租用仓库面积</w:t>
            </w:r>
          </w:p>
        </w:tc>
        <w:tc>
          <w:tcPr>
            <w:tcW w:w="2551" w:type="dxa"/>
            <w:vAlign w:val="center"/>
          </w:tcPr>
          <w:p>
            <w:pPr>
              <w:pStyle w:val="12"/>
            </w:pPr>
            <w:r>
              <w:t>≤4500平方米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全年仓库稳定运行率</w:t>
            </w:r>
          </w:p>
        </w:tc>
        <w:tc>
          <w:tcPr>
            <w:tcW w:w="3430" w:type="dxa"/>
            <w:vAlign w:val="center"/>
          </w:tcPr>
          <w:p>
            <w:pPr>
              <w:pStyle w:val="12"/>
            </w:pPr>
            <w:r>
              <w:t>全年仓库稳定运行率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工作任务按时完成率</w:t>
            </w:r>
          </w:p>
        </w:tc>
        <w:tc>
          <w:tcPr>
            <w:tcW w:w="3430" w:type="dxa"/>
            <w:vAlign w:val="center"/>
          </w:tcPr>
          <w:p>
            <w:pPr>
              <w:pStyle w:val="12"/>
            </w:pPr>
            <w:r>
              <w:t>工作任务按时完成率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使用财政资金</w:t>
            </w:r>
          </w:p>
        </w:tc>
        <w:tc>
          <w:tcPr>
            <w:tcW w:w="3430" w:type="dxa"/>
            <w:vAlign w:val="center"/>
          </w:tcPr>
          <w:p>
            <w:pPr>
              <w:pStyle w:val="12"/>
            </w:pPr>
            <w:r>
              <w:t>使用财政资金</w:t>
            </w:r>
          </w:p>
        </w:tc>
        <w:tc>
          <w:tcPr>
            <w:tcW w:w="2551" w:type="dxa"/>
            <w:vAlign w:val="center"/>
          </w:tcPr>
          <w:p>
            <w:pPr>
              <w:pStyle w:val="12"/>
            </w:pPr>
            <w:r>
              <w:t>≤225万元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储备库运行情况</w:t>
            </w:r>
          </w:p>
        </w:tc>
        <w:tc>
          <w:tcPr>
            <w:tcW w:w="3430" w:type="dxa"/>
            <w:vAlign w:val="center"/>
          </w:tcPr>
          <w:p>
            <w:pPr>
              <w:pStyle w:val="12"/>
            </w:pPr>
            <w:r>
              <w:t>储备库运行情况</w:t>
            </w:r>
          </w:p>
        </w:tc>
        <w:tc>
          <w:tcPr>
            <w:tcW w:w="2551" w:type="dxa"/>
            <w:vAlign w:val="center"/>
          </w:tcPr>
          <w:p>
            <w:pPr>
              <w:pStyle w:val="12"/>
            </w:pPr>
            <w:r>
              <w:t>保障应急物资储备安全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使用方满意度</w:t>
            </w:r>
          </w:p>
        </w:tc>
        <w:tc>
          <w:tcPr>
            <w:tcW w:w="3430" w:type="dxa"/>
            <w:vAlign w:val="center"/>
          </w:tcPr>
          <w:p>
            <w:pPr>
              <w:pStyle w:val="12"/>
            </w:pPr>
            <w:r>
              <w:t>使用方满意度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9" w:name="_Toc_4_4_0000000015"/>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0</w:t>
      </w:r>
      <w:r>
        <w:rPr>
          <w:rFonts w:ascii="方正仿宋_GBK" w:hAnsi="方正仿宋_GBK" w:eastAsia="方正仿宋_GBK" w:cs="方正仿宋_GBK"/>
          <w:sz w:val="28"/>
        </w:rPr>
        <w:t>.天津市新能源和智能网联汽车产业发展支撑项目绩效目标表</w:t>
      </w:r>
      <w:bookmarkEnd w:id="9"/>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天津市新能源和智能网联汽车产业发展支撑项目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200.00</w:t>
            </w:r>
          </w:p>
        </w:tc>
        <w:tc>
          <w:tcPr>
            <w:tcW w:w="1587" w:type="dxa"/>
            <w:vAlign w:val="center"/>
          </w:tcPr>
          <w:p>
            <w:pPr>
              <w:pStyle w:val="13"/>
            </w:pPr>
            <w:r>
              <w:t>其中：财政    资金</w:t>
            </w:r>
          </w:p>
        </w:tc>
        <w:tc>
          <w:tcPr>
            <w:tcW w:w="1843" w:type="dxa"/>
            <w:vAlign w:val="center"/>
          </w:tcPr>
          <w:p>
            <w:pPr>
              <w:pStyle w:val="12"/>
            </w:pPr>
            <w:r>
              <w:t>200.00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用于天津市新能源和智能网联汽车产业发展支撑服务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1.按照国标（GB/T 32960）要求，实现对天津市50万台新能源车辆实施采集存储及数据治理，并形成天津市全年新能源汽车运行情况报告；</w:t>
            </w:r>
          </w:p>
          <w:p>
            <w:pPr>
              <w:pStyle w:val="12"/>
            </w:pPr>
            <w:r>
              <w:t>2.进一步完善天津汽车零部件供应链体系，对全市汽车零部件体系进行梳理分析；</w:t>
            </w:r>
          </w:p>
          <w:p>
            <w:pPr>
              <w:pStyle w:val="12"/>
            </w:pPr>
            <w:r>
              <w:t>3.通过调研分析，完成《天津市智能网联汽车条例》的制定及发布，并开展面向各部门、各区及各重点企业的宣贯工作。</w:t>
            </w: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开展项目数量</w:t>
            </w:r>
          </w:p>
        </w:tc>
        <w:tc>
          <w:tcPr>
            <w:tcW w:w="3430" w:type="dxa"/>
            <w:vAlign w:val="center"/>
          </w:tcPr>
          <w:p>
            <w:pPr>
              <w:pStyle w:val="12"/>
            </w:pPr>
            <w:r>
              <w:t>开展项目数量</w:t>
            </w:r>
          </w:p>
        </w:tc>
        <w:tc>
          <w:tcPr>
            <w:tcW w:w="2551" w:type="dxa"/>
            <w:vAlign w:val="center"/>
          </w:tcPr>
          <w:p>
            <w:pPr>
              <w:pStyle w:val="1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资金拨付合规性</w:t>
            </w:r>
          </w:p>
        </w:tc>
        <w:tc>
          <w:tcPr>
            <w:tcW w:w="3430" w:type="dxa"/>
            <w:vAlign w:val="center"/>
          </w:tcPr>
          <w:p>
            <w:pPr>
              <w:pStyle w:val="12"/>
            </w:pPr>
            <w:r>
              <w:t>资金拨付合规性</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工作完成时间</w:t>
            </w:r>
          </w:p>
        </w:tc>
        <w:tc>
          <w:tcPr>
            <w:tcW w:w="3430" w:type="dxa"/>
            <w:vAlign w:val="center"/>
          </w:tcPr>
          <w:p>
            <w:pPr>
              <w:pStyle w:val="12"/>
            </w:pPr>
            <w:r>
              <w:t>工作完成时间</w:t>
            </w:r>
          </w:p>
        </w:tc>
        <w:tc>
          <w:tcPr>
            <w:tcW w:w="2551" w:type="dxa"/>
            <w:vAlign w:val="center"/>
          </w:tcPr>
          <w:p>
            <w:pPr>
              <w:pStyle w:val="12"/>
            </w:pPr>
            <w:r>
              <w:t xml:space="preserve"> 2025年12月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使用财政资金</w:t>
            </w:r>
          </w:p>
        </w:tc>
        <w:tc>
          <w:tcPr>
            <w:tcW w:w="3430" w:type="dxa"/>
            <w:vAlign w:val="center"/>
          </w:tcPr>
          <w:p>
            <w:pPr>
              <w:pStyle w:val="12"/>
            </w:pPr>
            <w:r>
              <w:t>使用财政资金</w:t>
            </w:r>
          </w:p>
        </w:tc>
        <w:tc>
          <w:tcPr>
            <w:tcW w:w="2551" w:type="dxa"/>
            <w:vAlign w:val="center"/>
          </w:tcPr>
          <w:p>
            <w:pPr>
              <w:pStyle w:val="12"/>
            </w:pPr>
            <w:r>
              <w:t>≤200万元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新能源和智能网联汽车</w:t>
            </w:r>
          </w:p>
          <w:p>
            <w:pPr>
              <w:pStyle w:val="12"/>
            </w:pPr>
            <w:r>
              <w:t>产业发展</w:t>
            </w:r>
          </w:p>
        </w:tc>
        <w:tc>
          <w:tcPr>
            <w:tcW w:w="3430" w:type="dxa"/>
            <w:vAlign w:val="center"/>
          </w:tcPr>
          <w:p>
            <w:pPr>
              <w:pStyle w:val="12"/>
            </w:pPr>
            <w:r>
              <w:t>新能源和智能网联汽车</w:t>
            </w:r>
          </w:p>
          <w:p>
            <w:pPr>
              <w:pStyle w:val="12"/>
            </w:pPr>
            <w:r>
              <w:t>产业发展</w:t>
            </w:r>
          </w:p>
        </w:tc>
        <w:tc>
          <w:tcPr>
            <w:tcW w:w="2551" w:type="dxa"/>
            <w:vAlign w:val="center"/>
          </w:tcPr>
          <w:p>
            <w:pPr>
              <w:pStyle w:val="12"/>
            </w:pPr>
            <w:r>
              <w:t>促进产业发展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新能源汽车推广应用</w:t>
            </w:r>
          </w:p>
        </w:tc>
        <w:tc>
          <w:tcPr>
            <w:tcW w:w="3430" w:type="dxa"/>
            <w:vAlign w:val="center"/>
          </w:tcPr>
          <w:p>
            <w:pPr>
              <w:pStyle w:val="12"/>
            </w:pPr>
            <w:r>
              <w:t>新能源汽车推广应用</w:t>
            </w:r>
          </w:p>
        </w:tc>
        <w:tc>
          <w:tcPr>
            <w:tcW w:w="2551" w:type="dxa"/>
            <w:vAlign w:val="center"/>
          </w:tcPr>
          <w:p>
            <w:pPr>
              <w:pStyle w:val="12"/>
            </w:pPr>
            <w:r>
              <w:t>促进推广应用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 xml:space="preserve">服务对象满意度 </w:t>
            </w:r>
          </w:p>
        </w:tc>
        <w:tc>
          <w:tcPr>
            <w:tcW w:w="3430" w:type="dxa"/>
            <w:vAlign w:val="center"/>
          </w:tcPr>
          <w:p>
            <w:pPr>
              <w:pStyle w:val="12"/>
            </w:pPr>
            <w:r>
              <w:t xml:space="preserve">服务对象满意度 </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0" w:name="_Toc_4_4_0000000016"/>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.无线电管理技术设备运维—中央绩效目标表</w:t>
      </w:r>
      <w:bookmarkEnd w:id="10"/>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无线电管理技术设备运维—中央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21.50</w:t>
            </w:r>
          </w:p>
        </w:tc>
        <w:tc>
          <w:tcPr>
            <w:tcW w:w="1587" w:type="dxa"/>
            <w:vAlign w:val="center"/>
          </w:tcPr>
          <w:p>
            <w:pPr>
              <w:pStyle w:val="13"/>
            </w:pPr>
            <w:r>
              <w:t>其中：财政    资金</w:t>
            </w:r>
          </w:p>
        </w:tc>
        <w:tc>
          <w:tcPr>
            <w:tcW w:w="1843" w:type="dxa"/>
            <w:vAlign w:val="center"/>
          </w:tcPr>
          <w:p>
            <w:pPr>
              <w:pStyle w:val="12"/>
            </w:pPr>
            <w:r>
              <w:t>21.50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用于无线电管理技术设备运维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 通过日常维护执法系统技术设备，及时处理线路和车辆故障，保障无线电执法管理系统和执法车辆的正常运行。</w:t>
            </w:r>
            <w:r>
              <w:tab/>
            </w:r>
            <w:r>
              <w:tab/>
            </w:r>
            <w:r>
              <w:tab/>
            </w:r>
            <w:r>
              <w:tab/>
            </w:r>
            <w:r>
              <w:tab/>
            </w:r>
            <w:r>
              <w:tab/>
            </w: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系统巡检次数</w:t>
            </w:r>
          </w:p>
        </w:tc>
        <w:tc>
          <w:tcPr>
            <w:tcW w:w="3430" w:type="dxa"/>
            <w:vAlign w:val="center"/>
          </w:tcPr>
          <w:p>
            <w:pPr>
              <w:pStyle w:val="12"/>
            </w:pPr>
            <w:r>
              <w:t>系统巡检次数</w:t>
            </w:r>
          </w:p>
        </w:tc>
        <w:tc>
          <w:tcPr>
            <w:tcW w:w="2551" w:type="dxa"/>
            <w:vAlign w:val="center"/>
          </w:tcPr>
          <w:p>
            <w:pPr>
              <w:pStyle w:val="12"/>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成功协调或解决系统故障率</w:t>
            </w:r>
          </w:p>
        </w:tc>
        <w:tc>
          <w:tcPr>
            <w:tcW w:w="3430" w:type="dxa"/>
            <w:vAlign w:val="center"/>
          </w:tcPr>
          <w:p>
            <w:pPr>
              <w:pStyle w:val="12"/>
            </w:pPr>
            <w:r>
              <w:t>成功协调或解决系统故障率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响应故障跟进时效性 </w:t>
            </w:r>
          </w:p>
        </w:tc>
        <w:tc>
          <w:tcPr>
            <w:tcW w:w="3430" w:type="dxa"/>
            <w:vAlign w:val="center"/>
          </w:tcPr>
          <w:p>
            <w:pPr>
              <w:pStyle w:val="12"/>
            </w:pPr>
            <w:r>
              <w:t xml:space="preserve">响应故障跟进时效性 </w:t>
            </w:r>
          </w:p>
        </w:tc>
        <w:tc>
          <w:tcPr>
            <w:tcW w:w="2551" w:type="dxa"/>
            <w:vAlign w:val="center"/>
          </w:tcPr>
          <w:p>
            <w:pPr>
              <w:pStyle w:val="12"/>
            </w:pPr>
            <w:r>
              <w:t>≤2小时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无线电管理技术设备运维费用</w:t>
            </w:r>
          </w:p>
        </w:tc>
        <w:tc>
          <w:tcPr>
            <w:tcW w:w="3430" w:type="dxa"/>
            <w:vAlign w:val="center"/>
          </w:tcPr>
          <w:p>
            <w:pPr>
              <w:pStyle w:val="12"/>
            </w:pPr>
            <w:r>
              <w:t>无线电管理技术设备运维费用</w:t>
            </w:r>
          </w:p>
        </w:tc>
        <w:tc>
          <w:tcPr>
            <w:tcW w:w="2551" w:type="dxa"/>
            <w:vAlign w:val="center"/>
          </w:tcPr>
          <w:p>
            <w:pPr>
              <w:pStyle w:val="12"/>
            </w:pPr>
            <w:r>
              <w:t>≤21.5万元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提高无线电行政执法效率</w:t>
            </w:r>
          </w:p>
        </w:tc>
        <w:tc>
          <w:tcPr>
            <w:tcW w:w="3430" w:type="dxa"/>
            <w:vAlign w:val="center"/>
          </w:tcPr>
          <w:p>
            <w:pPr>
              <w:pStyle w:val="12"/>
            </w:pPr>
            <w:r>
              <w:t>提高无线电行政执法效率</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 xml:space="preserve">系统使用人员满意度 </w:t>
            </w:r>
          </w:p>
        </w:tc>
        <w:tc>
          <w:tcPr>
            <w:tcW w:w="3430" w:type="dxa"/>
            <w:vAlign w:val="center"/>
          </w:tcPr>
          <w:p>
            <w:pPr>
              <w:pStyle w:val="12"/>
            </w:pPr>
            <w:r>
              <w:t xml:space="preserve">系统使用人员满意度 </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1" w:name="_Toc_4_4_0000000017"/>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2</w:t>
      </w:r>
      <w:r>
        <w:rPr>
          <w:rFonts w:ascii="方正仿宋_GBK" w:hAnsi="方正仿宋_GBK" w:eastAsia="方正仿宋_GBK" w:cs="方正仿宋_GBK"/>
          <w:sz w:val="28"/>
        </w:rPr>
        <w:t>.无线电管理专项监管—中央绩效目标表</w:t>
      </w:r>
      <w:bookmarkEnd w:id="11"/>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无线电管理专项监管—中央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176.00</w:t>
            </w:r>
          </w:p>
        </w:tc>
        <w:tc>
          <w:tcPr>
            <w:tcW w:w="1587" w:type="dxa"/>
            <w:vAlign w:val="center"/>
          </w:tcPr>
          <w:p>
            <w:pPr>
              <w:pStyle w:val="13"/>
            </w:pPr>
            <w:r>
              <w:t>其中：财政    资金</w:t>
            </w:r>
          </w:p>
        </w:tc>
        <w:tc>
          <w:tcPr>
            <w:tcW w:w="1843" w:type="dxa"/>
            <w:vAlign w:val="center"/>
          </w:tcPr>
          <w:p>
            <w:pPr>
              <w:pStyle w:val="12"/>
            </w:pPr>
            <w:r>
              <w:t>176.00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支付无线电监管资金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1.通过开展无线电管理专项监管工作，维护重点无线电台站、电磁环境秩序，推动无线电管理规范化、精细化发展。</w:t>
            </w: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开展考试无线电保障次数</w:t>
            </w:r>
          </w:p>
        </w:tc>
        <w:tc>
          <w:tcPr>
            <w:tcW w:w="3430" w:type="dxa"/>
            <w:vAlign w:val="center"/>
          </w:tcPr>
          <w:p>
            <w:pPr>
              <w:pStyle w:val="12"/>
            </w:pPr>
            <w:r>
              <w:t>开展考试无线电保障次数</w:t>
            </w:r>
          </w:p>
        </w:tc>
        <w:tc>
          <w:tcPr>
            <w:tcW w:w="2551" w:type="dxa"/>
            <w:vAlign w:val="center"/>
          </w:tcPr>
          <w:p>
            <w:pPr>
              <w:pStyle w:val="12"/>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干扰投诉处理率</w:t>
            </w:r>
          </w:p>
        </w:tc>
        <w:tc>
          <w:tcPr>
            <w:tcW w:w="3430" w:type="dxa"/>
            <w:vAlign w:val="center"/>
          </w:tcPr>
          <w:p>
            <w:pPr>
              <w:pStyle w:val="12"/>
            </w:pPr>
            <w:r>
              <w:t>干扰投诉处理率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无线电管理专项监管工作完成及时率</w:t>
            </w:r>
          </w:p>
        </w:tc>
        <w:tc>
          <w:tcPr>
            <w:tcW w:w="3430" w:type="dxa"/>
            <w:vAlign w:val="center"/>
          </w:tcPr>
          <w:p>
            <w:pPr>
              <w:pStyle w:val="12"/>
            </w:pPr>
            <w:r>
              <w:t>无线电管理专项监管工作完成及时率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无线电管理专项监管费用</w:t>
            </w:r>
          </w:p>
        </w:tc>
        <w:tc>
          <w:tcPr>
            <w:tcW w:w="3430" w:type="dxa"/>
            <w:vAlign w:val="center"/>
          </w:tcPr>
          <w:p>
            <w:pPr>
              <w:pStyle w:val="12"/>
            </w:pPr>
            <w:r>
              <w:t>无线电管理专项监管费用</w:t>
            </w:r>
          </w:p>
        </w:tc>
        <w:tc>
          <w:tcPr>
            <w:tcW w:w="2551" w:type="dxa"/>
            <w:vAlign w:val="center"/>
          </w:tcPr>
          <w:p>
            <w:pPr>
              <w:pStyle w:val="12"/>
            </w:pPr>
            <w:r>
              <w:t>≤176万元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推动无线电管理规范化、精细化发展</w:t>
            </w:r>
          </w:p>
        </w:tc>
        <w:tc>
          <w:tcPr>
            <w:tcW w:w="3430" w:type="dxa"/>
            <w:vAlign w:val="center"/>
          </w:tcPr>
          <w:p>
            <w:pPr>
              <w:pStyle w:val="12"/>
            </w:pPr>
            <w:r>
              <w:t>推动无线电管理规范化、精细化发展</w:t>
            </w:r>
          </w:p>
        </w:tc>
        <w:tc>
          <w:tcPr>
            <w:tcW w:w="2551" w:type="dxa"/>
            <w:vAlign w:val="center"/>
          </w:tcPr>
          <w:p>
            <w:pPr>
              <w:pStyle w:val="12"/>
            </w:pPr>
            <w:r>
              <w:t>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无线电管理人员满意度</w:t>
            </w:r>
          </w:p>
        </w:tc>
        <w:tc>
          <w:tcPr>
            <w:tcW w:w="3430" w:type="dxa"/>
            <w:vAlign w:val="center"/>
          </w:tcPr>
          <w:p>
            <w:pPr>
              <w:pStyle w:val="12"/>
            </w:pPr>
            <w:r>
              <w:t>无线电管理人员满意度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2" w:name="_Toc_4_4_0000000018"/>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.无线电频率审批相关支持项目—中央绩效目标表</w:t>
      </w:r>
      <w:bookmarkEnd w:id="12"/>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无线电频率审批相关支持项目—中央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14.00</w:t>
            </w:r>
          </w:p>
        </w:tc>
        <w:tc>
          <w:tcPr>
            <w:tcW w:w="1587" w:type="dxa"/>
            <w:vAlign w:val="center"/>
          </w:tcPr>
          <w:p>
            <w:pPr>
              <w:pStyle w:val="13"/>
            </w:pPr>
            <w:r>
              <w:t>其中：财政    资金</w:t>
            </w:r>
          </w:p>
        </w:tc>
        <w:tc>
          <w:tcPr>
            <w:tcW w:w="1843" w:type="dxa"/>
            <w:vAlign w:val="center"/>
          </w:tcPr>
          <w:p>
            <w:pPr>
              <w:pStyle w:val="12"/>
            </w:pPr>
            <w:r>
              <w:t>14.00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拨付无线电管理评审相关费用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1.频率协调、专家评审、频率审批相关技术服务等累计不少于12次；频率使用效率有效提高；行政相对人满意度大于95%。</w:t>
            </w: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开展频率使用方案评价、频率复用评估、干扰分析报告、频率使用情况评估、专家评审等产出数量</w:t>
            </w:r>
          </w:p>
        </w:tc>
        <w:tc>
          <w:tcPr>
            <w:tcW w:w="3430" w:type="dxa"/>
            <w:vAlign w:val="center"/>
          </w:tcPr>
          <w:p>
            <w:pPr>
              <w:pStyle w:val="12"/>
            </w:pPr>
            <w:r>
              <w:t>开展频率使用方案评价、频率复用评估、干扰分析报告、频率使用情况评估、专家评审等产出数量</w:t>
            </w:r>
          </w:p>
        </w:tc>
        <w:tc>
          <w:tcPr>
            <w:tcW w:w="2551" w:type="dxa"/>
            <w:vAlign w:val="center"/>
          </w:tcPr>
          <w:p>
            <w:pPr>
              <w:pStyle w:val="12"/>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频率协调、大型组网、重点频率复用所需频率复用评估、专家评审等覆盖率</w:t>
            </w:r>
          </w:p>
        </w:tc>
        <w:tc>
          <w:tcPr>
            <w:tcW w:w="3430" w:type="dxa"/>
            <w:vAlign w:val="center"/>
          </w:tcPr>
          <w:p>
            <w:pPr>
              <w:pStyle w:val="12"/>
            </w:pPr>
            <w:r>
              <w:t>频率协调、大型组网、重点频率复用所需频率复用评估、专家评审等覆盖率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各项任务完成及时率</w:t>
            </w:r>
          </w:p>
        </w:tc>
        <w:tc>
          <w:tcPr>
            <w:tcW w:w="3430" w:type="dxa"/>
            <w:vAlign w:val="center"/>
          </w:tcPr>
          <w:p>
            <w:pPr>
              <w:pStyle w:val="12"/>
            </w:pPr>
            <w:r>
              <w:t>各项任务完成及时率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不超于预算金额</w:t>
            </w:r>
          </w:p>
        </w:tc>
        <w:tc>
          <w:tcPr>
            <w:tcW w:w="3430" w:type="dxa"/>
            <w:vAlign w:val="center"/>
          </w:tcPr>
          <w:p>
            <w:pPr>
              <w:pStyle w:val="12"/>
            </w:pPr>
            <w:r>
              <w:t>不超于预算金额</w:t>
            </w:r>
          </w:p>
        </w:tc>
        <w:tc>
          <w:tcPr>
            <w:tcW w:w="2551" w:type="dxa"/>
            <w:vAlign w:val="center"/>
          </w:tcPr>
          <w:p>
            <w:pPr>
              <w:pStyle w:val="12"/>
            </w:pPr>
            <w:r>
              <w:t>≤14万元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提高频率使用效率</w:t>
            </w:r>
          </w:p>
        </w:tc>
        <w:tc>
          <w:tcPr>
            <w:tcW w:w="3430" w:type="dxa"/>
            <w:vAlign w:val="center"/>
          </w:tcPr>
          <w:p>
            <w:pPr>
              <w:pStyle w:val="12"/>
            </w:pPr>
            <w:r>
              <w:t>提高频率使用效率</w:t>
            </w:r>
          </w:p>
        </w:tc>
        <w:tc>
          <w:tcPr>
            <w:tcW w:w="2551" w:type="dxa"/>
            <w:vAlign w:val="center"/>
          </w:tcPr>
          <w:p>
            <w:pPr>
              <w:pStyle w:val="12"/>
            </w:pPr>
            <w:r>
              <w:t>有限的频率能够满足更多的需求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无线电频率使用许可数</w:t>
            </w:r>
          </w:p>
        </w:tc>
        <w:tc>
          <w:tcPr>
            <w:tcW w:w="3430" w:type="dxa"/>
            <w:vAlign w:val="center"/>
          </w:tcPr>
          <w:p>
            <w:pPr>
              <w:pStyle w:val="12"/>
            </w:pPr>
            <w:r>
              <w:t>无线电频率使用许可数</w:t>
            </w:r>
          </w:p>
        </w:tc>
        <w:tc>
          <w:tcPr>
            <w:tcW w:w="2551" w:type="dxa"/>
            <w:vAlign w:val="center"/>
          </w:tcPr>
          <w:p>
            <w:pPr>
              <w:pStyle w:val="12"/>
            </w:pPr>
            <w:r>
              <w:t>≥20个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无线电台（站）许可数</w:t>
            </w:r>
          </w:p>
        </w:tc>
        <w:tc>
          <w:tcPr>
            <w:tcW w:w="3430" w:type="dxa"/>
            <w:vAlign w:val="center"/>
          </w:tcPr>
          <w:p>
            <w:pPr>
              <w:pStyle w:val="12"/>
            </w:pPr>
            <w:r>
              <w:t>无线电台（站）许可数</w:t>
            </w:r>
          </w:p>
        </w:tc>
        <w:tc>
          <w:tcPr>
            <w:tcW w:w="2551" w:type="dxa"/>
            <w:vAlign w:val="center"/>
          </w:tcPr>
          <w:p>
            <w:pPr>
              <w:pStyle w:val="12"/>
            </w:pPr>
            <w:r>
              <w:t>≥1000个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重点用频单位满意度</w:t>
            </w:r>
          </w:p>
        </w:tc>
        <w:tc>
          <w:tcPr>
            <w:tcW w:w="3430" w:type="dxa"/>
            <w:vAlign w:val="center"/>
          </w:tcPr>
          <w:p>
            <w:pPr>
              <w:pStyle w:val="12"/>
            </w:pPr>
            <w:r>
              <w:t>重点用频单位满意度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重点设台单位满意度</w:t>
            </w:r>
          </w:p>
        </w:tc>
        <w:tc>
          <w:tcPr>
            <w:tcW w:w="3430" w:type="dxa"/>
            <w:vAlign w:val="center"/>
          </w:tcPr>
          <w:p>
            <w:pPr>
              <w:pStyle w:val="12"/>
            </w:pPr>
            <w:r>
              <w:t>重点设台单位满意度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3" w:name="_Toc_4_4_0000000019"/>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.无线电专项监管-中央绩效目标表</w:t>
      </w:r>
      <w:bookmarkEnd w:id="13"/>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无线电专项监管-中央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30.96</w:t>
            </w:r>
          </w:p>
        </w:tc>
        <w:tc>
          <w:tcPr>
            <w:tcW w:w="1587" w:type="dxa"/>
            <w:vAlign w:val="center"/>
          </w:tcPr>
          <w:p>
            <w:pPr>
              <w:pStyle w:val="13"/>
            </w:pPr>
            <w:r>
              <w:t>其中：财政    资金</w:t>
            </w:r>
          </w:p>
        </w:tc>
        <w:tc>
          <w:tcPr>
            <w:tcW w:w="1843" w:type="dxa"/>
            <w:vAlign w:val="center"/>
          </w:tcPr>
          <w:p>
            <w:pPr>
              <w:pStyle w:val="12"/>
            </w:pPr>
            <w:r>
              <w:t>30.96</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拨付上年未完全执行的合同尾款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 通过开展无线电管理专项监管工作，维护重点无线电台站、电磁环境秩序，推动无线电管理规范化、精细化发展。</w:t>
            </w: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无线电管理专项监管工作任务数</w:t>
            </w:r>
          </w:p>
        </w:tc>
        <w:tc>
          <w:tcPr>
            <w:tcW w:w="3430" w:type="dxa"/>
            <w:vAlign w:val="center"/>
          </w:tcPr>
          <w:p>
            <w:pPr>
              <w:pStyle w:val="12"/>
            </w:pPr>
            <w:r>
              <w:t>无线电管理专项监管工作任务数</w:t>
            </w:r>
          </w:p>
        </w:tc>
        <w:tc>
          <w:tcPr>
            <w:tcW w:w="2551" w:type="dxa"/>
            <w:vAlign w:val="center"/>
          </w:tcPr>
          <w:p>
            <w:pPr>
              <w:pStyle w:val="12"/>
            </w:pPr>
            <w:r>
              <w:t>≤8项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干扰投诉处理率 </w:t>
            </w:r>
          </w:p>
        </w:tc>
        <w:tc>
          <w:tcPr>
            <w:tcW w:w="3430" w:type="dxa"/>
            <w:vAlign w:val="center"/>
          </w:tcPr>
          <w:p>
            <w:pPr>
              <w:pStyle w:val="12"/>
            </w:pPr>
            <w:r>
              <w:t xml:space="preserve">干扰投诉处理率 </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“黑广播”投诉响应及时率</w:t>
            </w:r>
          </w:p>
        </w:tc>
        <w:tc>
          <w:tcPr>
            <w:tcW w:w="3430" w:type="dxa"/>
            <w:vAlign w:val="center"/>
          </w:tcPr>
          <w:p>
            <w:pPr>
              <w:pStyle w:val="12"/>
            </w:pPr>
            <w:r>
              <w:t>“黑广播”投诉响应及时率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无线电管理专项监管费用</w:t>
            </w:r>
          </w:p>
        </w:tc>
        <w:tc>
          <w:tcPr>
            <w:tcW w:w="3430" w:type="dxa"/>
            <w:vAlign w:val="center"/>
          </w:tcPr>
          <w:p>
            <w:pPr>
              <w:pStyle w:val="12"/>
            </w:pPr>
            <w:r>
              <w:t>无线电管理专项监管费用</w:t>
            </w:r>
          </w:p>
        </w:tc>
        <w:tc>
          <w:tcPr>
            <w:tcW w:w="2551" w:type="dxa"/>
            <w:vAlign w:val="center"/>
          </w:tcPr>
          <w:p>
            <w:pPr>
              <w:pStyle w:val="12"/>
            </w:pPr>
            <w:r>
              <w:t>≤30.96万元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推动无线电管理规范化、精细化发展</w:t>
            </w:r>
          </w:p>
        </w:tc>
        <w:tc>
          <w:tcPr>
            <w:tcW w:w="3430" w:type="dxa"/>
            <w:vAlign w:val="center"/>
          </w:tcPr>
          <w:p>
            <w:pPr>
              <w:pStyle w:val="12"/>
            </w:pPr>
            <w:r>
              <w:t>推动无线电管理规范化、精细化发展</w:t>
            </w:r>
          </w:p>
        </w:tc>
        <w:tc>
          <w:tcPr>
            <w:tcW w:w="2551" w:type="dxa"/>
            <w:vAlign w:val="center"/>
          </w:tcPr>
          <w:p>
            <w:pPr>
              <w:pStyle w:val="12"/>
            </w:pPr>
            <w:r>
              <w:t>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 xml:space="preserve">无线电管理人员满意度 </w:t>
            </w:r>
          </w:p>
        </w:tc>
        <w:tc>
          <w:tcPr>
            <w:tcW w:w="3430" w:type="dxa"/>
            <w:vAlign w:val="center"/>
          </w:tcPr>
          <w:p>
            <w:pPr>
              <w:pStyle w:val="12"/>
            </w:pPr>
            <w:r>
              <w:t xml:space="preserve">无线电管理人员满意度 </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4" w:name="_Toc_4_4_0000000020"/>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5</w:t>
      </w:r>
      <w:bookmarkStart w:id="15" w:name="_GoBack"/>
      <w:bookmarkEnd w:id="15"/>
      <w:r>
        <w:rPr>
          <w:rFonts w:ascii="方正仿宋_GBK" w:hAnsi="方正仿宋_GBK" w:eastAsia="方正仿宋_GBK" w:cs="方正仿宋_GBK"/>
          <w:sz w:val="28"/>
        </w:rPr>
        <w:t>.新能源汽车推广应用补贴绩效目标表</w:t>
      </w:r>
      <w:bookmarkEnd w:id="14"/>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新能源汽车推广应用补贴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1800.00</w:t>
            </w:r>
          </w:p>
        </w:tc>
        <w:tc>
          <w:tcPr>
            <w:tcW w:w="1587" w:type="dxa"/>
            <w:vAlign w:val="center"/>
          </w:tcPr>
          <w:p>
            <w:pPr>
              <w:pStyle w:val="13"/>
            </w:pPr>
            <w:r>
              <w:t>其中：财政    资金</w:t>
            </w:r>
          </w:p>
        </w:tc>
        <w:tc>
          <w:tcPr>
            <w:tcW w:w="1843" w:type="dxa"/>
            <w:vAlign w:val="center"/>
          </w:tcPr>
          <w:p>
            <w:pPr>
              <w:pStyle w:val="12"/>
            </w:pPr>
            <w:r>
              <w:t>1800.00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新能源汽车推广应用补贴资金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1.完成2017年在津推广新能源汽车的资金补助，补贴汽车数量不低于5000辆，补贴金额不超过1800万元，降低新能源汽车购车成本，实现新能源汽车保有量增长。</w:t>
            </w: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补贴汽车数量</w:t>
            </w:r>
          </w:p>
        </w:tc>
        <w:tc>
          <w:tcPr>
            <w:tcW w:w="3430" w:type="dxa"/>
            <w:vAlign w:val="center"/>
          </w:tcPr>
          <w:p>
            <w:pPr>
              <w:pStyle w:val="12"/>
            </w:pPr>
            <w:r>
              <w:t>补贴汽车数量</w:t>
            </w:r>
          </w:p>
        </w:tc>
        <w:tc>
          <w:tcPr>
            <w:tcW w:w="2551" w:type="dxa"/>
            <w:vAlign w:val="center"/>
          </w:tcPr>
          <w:p>
            <w:pPr>
              <w:pStyle w:val="12"/>
            </w:pPr>
            <w:r>
              <w:t>≥5000辆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资金拨付合规性</w:t>
            </w:r>
          </w:p>
        </w:tc>
        <w:tc>
          <w:tcPr>
            <w:tcW w:w="3430" w:type="dxa"/>
            <w:vAlign w:val="center"/>
          </w:tcPr>
          <w:p>
            <w:pPr>
              <w:pStyle w:val="12"/>
            </w:pPr>
            <w:r>
              <w:t>资金拨付合规性</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工作完成时间</w:t>
            </w:r>
          </w:p>
        </w:tc>
        <w:tc>
          <w:tcPr>
            <w:tcW w:w="3430" w:type="dxa"/>
            <w:vAlign w:val="center"/>
          </w:tcPr>
          <w:p>
            <w:pPr>
              <w:pStyle w:val="12"/>
            </w:pPr>
            <w:r>
              <w:t>工作完成时间</w:t>
            </w:r>
          </w:p>
        </w:tc>
        <w:tc>
          <w:tcPr>
            <w:tcW w:w="2551" w:type="dxa"/>
            <w:vAlign w:val="center"/>
          </w:tcPr>
          <w:p>
            <w:pPr>
              <w:pStyle w:val="12"/>
            </w:pPr>
            <w:r>
              <w:t>2025年12月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补贴金额</w:t>
            </w:r>
          </w:p>
        </w:tc>
        <w:tc>
          <w:tcPr>
            <w:tcW w:w="3430" w:type="dxa"/>
            <w:vAlign w:val="center"/>
          </w:tcPr>
          <w:p>
            <w:pPr>
              <w:pStyle w:val="12"/>
            </w:pPr>
            <w:r>
              <w:t>补贴金额</w:t>
            </w:r>
          </w:p>
        </w:tc>
        <w:tc>
          <w:tcPr>
            <w:tcW w:w="2551" w:type="dxa"/>
            <w:vAlign w:val="center"/>
          </w:tcPr>
          <w:p>
            <w:pPr>
              <w:pStyle w:val="12"/>
            </w:pPr>
            <w:r>
              <w:t>≤1800万元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新能源汽车购置成本</w:t>
            </w:r>
          </w:p>
        </w:tc>
        <w:tc>
          <w:tcPr>
            <w:tcW w:w="3430" w:type="dxa"/>
            <w:vAlign w:val="center"/>
          </w:tcPr>
          <w:p>
            <w:pPr>
              <w:pStyle w:val="12"/>
            </w:pPr>
            <w:r>
              <w:t>新能源汽车购置成本</w:t>
            </w:r>
          </w:p>
        </w:tc>
        <w:tc>
          <w:tcPr>
            <w:tcW w:w="2551" w:type="dxa"/>
            <w:vAlign w:val="center"/>
          </w:tcPr>
          <w:p>
            <w:pPr>
              <w:pStyle w:val="12"/>
            </w:pPr>
            <w:r>
              <w:t>按照补贴标准降低新能源汽车购车成本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新能源汽车保有量</w:t>
            </w:r>
          </w:p>
        </w:tc>
        <w:tc>
          <w:tcPr>
            <w:tcW w:w="3430" w:type="dxa"/>
            <w:vAlign w:val="center"/>
          </w:tcPr>
          <w:p>
            <w:pPr>
              <w:pStyle w:val="12"/>
            </w:pPr>
            <w:r>
              <w:t>新能源汽车保有量</w:t>
            </w:r>
          </w:p>
        </w:tc>
        <w:tc>
          <w:tcPr>
            <w:tcW w:w="2551" w:type="dxa"/>
            <w:vAlign w:val="center"/>
          </w:tcPr>
          <w:p>
            <w:pPr>
              <w:pStyle w:val="12"/>
            </w:pPr>
            <w:r>
              <w:t>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汽车燃油消耗量</w:t>
            </w:r>
          </w:p>
        </w:tc>
        <w:tc>
          <w:tcPr>
            <w:tcW w:w="3430" w:type="dxa"/>
            <w:vAlign w:val="center"/>
          </w:tcPr>
          <w:p>
            <w:pPr>
              <w:pStyle w:val="12"/>
            </w:pPr>
            <w:r>
              <w:t>汽车燃油消耗量</w:t>
            </w:r>
          </w:p>
        </w:tc>
        <w:tc>
          <w:tcPr>
            <w:tcW w:w="2551" w:type="dxa"/>
            <w:vAlign w:val="center"/>
          </w:tcPr>
          <w:p>
            <w:pPr>
              <w:pStyle w:val="12"/>
            </w:pPr>
            <w:r>
              <w:t xml:space="preserve"> 减少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 xml:space="preserve">服务对象满意度 </w:t>
            </w:r>
          </w:p>
        </w:tc>
        <w:tc>
          <w:tcPr>
            <w:tcW w:w="3430" w:type="dxa"/>
            <w:vAlign w:val="center"/>
          </w:tcPr>
          <w:p>
            <w:pPr>
              <w:pStyle w:val="12"/>
            </w:pPr>
            <w:r>
              <w:t xml:space="preserve">服务对象满意度 </w:t>
            </w:r>
          </w:p>
        </w:tc>
        <w:tc>
          <w:tcPr>
            <w:tcW w:w="2551" w:type="dxa"/>
            <w:vAlign w:val="center"/>
          </w:tcPr>
          <w:p>
            <w:pPr>
              <w:pStyle w:val="12"/>
            </w:pPr>
            <w:r>
              <w:t>≥90%</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D5B"/>
    <w:rsid w:val="009A1FC7"/>
    <w:rsid w:val="00D20D5B"/>
    <w:rsid w:val="00FD78C1"/>
    <w:rsid w:val="06FD5ABB"/>
    <w:rsid w:val="0D8A0E72"/>
    <w:rsid w:val="0E7E4F29"/>
    <w:rsid w:val="533E4E00"/>
    <w:rsid w:val="6A007A52"/>
    <w:rsid w:val="6BA16C5B"/>
    <w:rsid w:val="7F795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4"/>
    <w:link w:val="3"/>
    <w:semiHidden/>
    <w:qFormat/>
    <w:uiPriority w:val="99"/>
    <w:rPr>
      <w:rFonts w:eastAsia="Times New Roman"/>
      <w:sz w:val="18"/>
      <w:szCs w:val="18"/>
      <w:lang w:eastAsia="uk-UA"/>
    </w:rPr>
  </w:style>
  <w:style w:type="character" w:customStyle="1" w:styleId="19">
    <w:name w:val="页脚 Char"/>
    <w:basedOn w:val="4"/>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6" Type="http://schemas.openxmlformats.org/officeDocument/2006/relationships/fontTable" Target="fontTable.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theme" Target="theme/theme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footer" Target="footer2.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1.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header" Target="head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2025-01-15T14:47:14Z</dcterms:created>
  <dcterms:modified xsi:type="dcterms:W3CDTF">2025-01-15T06:47:14Z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2025-01-15T14:47:13Z</dcterms:created>
  <dcterms:modified xsi:type="dcterms:W3CDTF">2025-01-15T06:47:13Z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2025-01-15T14:47:18Z</dcterms:created>
  <dcterms:modified xsi:type="dcterms:W3CDTF">2025-01-15T06:47:18Z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2025-01-15T14:47:15Z</dcterms:created>
  <dcterms:modified xsi:type="dcterms:W3CDTF">2025-01-15T06:47:15Z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2025-01-15T14:47:13Z</dcterms:created>
  <dcterms:modified xsi:type="dcterms:W3CDTF">2025-01-15T06:47:13Z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2025-01-15T14:47:17Z</dcterms:created>
  <dcterms:modified xsi:type="dcterms:W3CDTF">2025-01-15T06:47:17Z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2025-01-15T14:47:16Z</dcterms:created>
  <dcterms:modified xsi:type="dcterms:W3CDTF">2025-01-15T06:47:16Z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2025-01-15T14:47:15Z</dcterms:created>
  <dcterms:modified xsi:type="dcterms:W3CDTF">2025-01-15T06:47:15Z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2025-01-15T14:47:17Z</dcterms:created>
  <dcterms:modified xsi:type="dcterms:W3CDTF">2025-01-15T06:47:17Z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2025-01-15T14:47:16Z</dcterms:created>
  <dcterms:modified xsi:type="dcterms:W3CDTF">2025-01-15T06:47:16Z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2025-01-15T14:47:18Z</dcterms:created>
  <dcterms:modified xsi:type="dcterms:W3CDTF">2025-01-15T06:47:18Z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2025-01-15T14:47:14Z</dcterms:created>
  <dcterms:modified xsi:type="dcterms:W3CDTF">2025-01-15T06:47:14Z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2025-01-15T14:47:19Z</dcterms:created>
  <dcterms:modified xsi:type="dcterms:W3CDTF">2025-01-15T06:47:19Z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2025-01-15T14:47:13Z</dcterms:created>
  <dcterms:modified xsi:type="dcterms:W3CDTF">2025-01-15T06:47:13Z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2025-01-15T14:47:18Z</dcterms:created>
  <dcterms:modified xsi:type="dcterms:W3CDTF">2025-01-15T06:47:18Z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2025-01-15T14:47:15Z</dcterms:created>
  <dcterms:modified xsi:type="dcterms:W3CDTF">2025-01-15T06:47:15Z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2025-01-15T14:47:14Z</dcterms:created>
  <dcterms:modified xsi:type="dcterms:W3CDTF">2025-01-15T06:47:14Z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2025-01-15T14:47:19Z</dcterms:created>
  <dcterms:modified xsi:type="dcterms:W3CDTF">2025-01-15T06:47:19Z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2025-01-15T14:47:18Z</dcterms:created>
  <dcterms:modified xsi:type="dcterms:W3CDTF">2025-01-15T06:47:18Z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2025-01-15T14:47:17Z</dcterms:created>
  <dcterms:modified xsi:type="dcterms:W3CDTF">2025-01-15T06:47:17Z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2025-01-15T14:47:13Z</dcterms:created>
  <dcterms:modified xsi:type="dcterms:W3CDTF">2025-01-15T06:47:13Z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2025-01-15T14:47:13Z</dcterms:created>
  <dcterms:modified xsi:type="dcterms:W3CDTF">2025-01-15T06:47:13Z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2025-01-15T14:47:17Z</dcterms:created>
  <dcterms:modified xsi:type="dcterms:W3CDTF">2025-01-15T06:47:17Z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2025-01-15T14:47:16Z</dcterms:created>
  <dcterms:modified xsi:type="dcterms:W3CDTF">2025-01-15T06:47:16Z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2025-01-15T14:47:13Z</dcterms:created>
  <dcterms:modified xsi:type="dcterms:W3CDTF">2025-01-15T06:47:13Z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2025-01-15T14:47:19Z</dcterms:created>
  <dcterms:modified xsi:type="dcterms:W3CDTF">2025-01-15T06:47:19Z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2025-01-15T14:47:14Z</dcterms:created>
  <dcterms:modified xsi:type="dcterms:W3CDTF">2025-01-15T06:47:14Z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2025-01-15T14:47:16Z</dcterms:created>
  <dcterms:modified xsi:type="dcterms:W3CDTF">2025-01-15T06:47:16Z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2025-01-15T14:47:15Z</dcterms:created>
  <dcterms:modified xsi:type="dcterms:W3CDTF">2025-01-15T06:47:15Z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54337AC-9781-40DA-A75C-46046AEC579E}">
  <ds:schemaRefs/>
</ds:datastoreItem>
</file>

<file path=customXml/itemProps11.xml><?xml version="1.0" encoding="utf-8"?>
<ds:datastoreItem xmlns:ds="http://schemas.openxmlformats.org/officeDocument/2006/customXml" ds:itemID="{8206569F-E962-4D1E-A201-0817E985A233}">
  <ds:schemaRefs/>
</ds:datastoreItem>
</file>

<file path=customXml/itemProps12.xml><?xml version="1.0" encoding="utf-8"?>
<ds:datastoreItem xmlns:ds="http://schemas.openxmlformats.org/officeDocument/2006/customXml" ds:itemID="{8FBFFED0-F122-49C9-B461-C0CE51DBD157}">
  <ds:schemaRefs/>
</ds:datastoreItem>
</file>

<file path=customXml/itemProps13.xml><?xml version="1.0" encoding="utf-8"?>
<ds:datastoreItem xmlns:ds="http://schemas.openxmlformats.org/officeDocument/2006/customXml" ds:itemID="{B9680AB9-522C-4983-9AA0-CA147F74267B}">
  <ds:schemaRefs/>
</ds:datastoreItem>
</file>

<file path=customXml/itemProps14.xml><?xml version="1.0" encoding="utf-8"?>
<ds:datastoreItem xmlns:ds="http://schemas.openxmlformats.org/officeDocument/2006/customXml" ds:itemID="{9BCB56DC-8435-469C-A6A1-3605362C77DE}">
  <ds:schemaRefs/>
</ds:datastoreItem>
</file>

<file path=customXml/itemProps15.xml><?xml version="1.0" encoding="utf-8"?>
<ds:datastoreItem xmlns:ds="http://schemas.openxmlformats.org/officeDocument/2006/customXml" ds:itemID="{5BE47B2F-8FB4-48F9-8B54-0BE8FD12E3E4}">
  <ds:schemaRefs/>
</ds:datastoreItem>
</file>

<file path=customXml/itemProps16.xml><?xml version="1.0" encoding="utf-8"?>
<ds:datastoreItem xmlns:ds="http://schemas.openxmlformats.org/officeDocument/2006/customXml" ds:itemID="{FBE68F2E-D188-497C-A752-70A6E6B59AD5}">
  <ds:schemaRefs/>
</ds:datastoreItem>
</file>

<file path=customXml/itemProps17.xml><?xml version="1.0" encoding="utf-8"?>
<ds:datastoreItem xmlns:ds="http://schemas.openxmlformats.org/officeDocument/2006/customXml" ds:itemID="{7C6571AE-B85B-4A18-824B-9BDA12DFE971}">
  <ds:schemaRefs/>
</ds:datastoreItem>
</file>

<file path=customXml/itemProps18.xml><?xml version="1.0" encoding="utf-8"?>
<ds:datastoreItem xmlns:ds="http://schemas.openxmlformats.org/officeDocument/2006/customXml" ds:itemID="{187F379A-E2FB-4BAC-8367-03C6C7379698}">
  <ds:schemaRefs/>
</ds:datastoreItem>
</file>

<file path=customXml/itemProps19.xml><?xml version="1.0" encoding="utf-8"?>
<ds:datastoreItem xmlns:ds="http://schemas.openxmlformats.org/officeDocument/2006/customXml" ds:itemID="{981E1444-814B-4E93-8A29-8F4B9E4807DF}">
  <ds:schemaRefs/>
</ds:datastoreItem>
</file>

<file path=customXml/itemProps2.xml><?xml version="1.0" encoding="utf-8"?>
<ds:datastoreItem xmlns:ds="http://schemas.openxmlformats.org/officeDocument/2006/customXml" ds:itemID="{E57B1D60-6A46-47AB-9AF4-0B270F40EDA9}">
  <ds:schemaRefs/>
</ds:datastoreItem>
</file>

<file path=customXml/itemProps20.xml><?xml version="1.0" encoding="utf-8"?>
<ds:datastoreItem xmlns:ds="http://schemas.openxmlformats.org/officeDocument/2006/customXml" ds:itemID="{B7A57624-BE18-44AB-9152-E276A9AB52B3}">
  <ds:schemaRefs/>
</ds:datastoreItem>
</file>

<file path=customXml/itemProps21.xml><?xml version="1.0" encoding="utf-8"?>
<ds:datastoreItem xmlns:ds="http://schemas.openxmlformats.org/officeDocument/2006/customXml" ds:itemID="{13C7577F-7E92-4741-9C8C-6123AD9E5F49}">
  <ds:schemaRefs/>
</ds:datastoreItem>
</file>

<file path=customXml/itemProps22.xml><?xml version="1.0" encoding="utf-8"?>
<ds:datastoreItem xmlns:ds="http://schemas.openxmlformats.org/officeDocument/2006/customXml" ds:itemID="{A3A55031-5341-4D72-ACFB-EFC9FF743732}">
  <ds:schemaRefs/>
</ds:datastoreItem>
</file>

<file path=customXml/itemProps23.xml><?xml version="1.0" encoding="utf-8"?>
<ds:datastoreItem xmlns:ds="http://schemas.openxmlformats.org/officeDocument/2006/customXml" ds:itemID="{4CDC6DFA-9EEC-42DE-93F1-79087E6F228F}">
  <ds:schemaRefs/>
</ds:datastoreItem>
</file>

<file path=customXml/itemProps24.xml><?xml version="1.0" encoding="utf-8"?>
<ds:datastoreItem xmlns:ds="http://schemas.openxmlformats.org/officeDocument/2006/customXml" ds:itemID="{4021656E-1F78-4A9D-90DA-78680924253B}">
  <ds:schemaRefs/>
</ds:datastoreItem>
</file>

<file path=customXml/itemProps25.xml><?xml version="1.0" encoding="utf-8"?>
<ds:datastoreItem xmlns:ds="http://schemas.openxmlformats.org/officeDocument/2006/customXml" ds:itemID="{2969F103-6469-427D-9E7C-48B15B849016}">
  <ds:schemaRefs/>
</ds:datastoreItem>
</file>

<file path=customXml/itemProps26.xml><?xml version="1.0" encoding="utf-8"?>
<ds:datastoreItem xmlns:ds="http://schemas.openxmlformats.org/officeDocument/2006/customXml" ds:itemID="{6EB566D2-0D72-42B4-8122-8096B435D358}">
  <ds:schemaRefs/>
</ds:datastoreItem>
</file>

<file path=customXml/itemProps27.xml><?xml version="1.0" encoding="utf-8"?>
<ds:datastoreItem xmlns:ds="http://schemas.openxmlformats.org/officeDocument/2006/customXml" ds:itemID="{C4964274-216B-45C7-937A-B812075C9E4B}">
  <ds:schemaRefs/>
</ds:datastoreItem>
</file>

<file path=customXml/itemProps28.xml><?xml version="1.0" encoding="utf-8"?>
<ds:datastoreItem xmlns:ds="http://schemas.openxmlformats.org/officeDocument/2006/customXml" ds:itemID="{0CD86E04-9FC2-4761-8B48-CB6A42160EF6}">
  <ds:schemaRefs/>
</ds:datastoreItem>
</file>

<file path=customXml/itemProps29.xml><?xml version="1.0" encoding="utf-8"?>
<ds:datastoreItem xmlns:ds="http://schemas.openxmlformats.org/officeDocument/2006/customXml" ds:itemID="{A1C134D9-A6CA-438D-840A-B897F3812F8C}">
  <ds:schemaRefs/>
</ds:datastoreItem>
</file>

<file path=customXml/itemProps3.xml><?xml version="1.0" encoding="utf-8"?>
<ds:datastoreItem xmlns:ds="http://schemas.openxmlformats.org/officeDocument/2006/customXml" ds:itemID="{35FD6A24-002B-4DD6-AA74-BE8D24A55F92}">
  <ds:schemaRefs/>
</ds:datastoreItem>
</file>

<file path=customXml/itemProps30.xml><?xml version="1.0" encoding="utf-8"?>
<ds:datastoreItem xmlns:ds="http://schemas.openxmlformats.org/officeDocument/2006/customXml" ds:itemID="{A3FEA759-3AE8-4AAF-8DD8-01B74B100BE5}">
  <ds:schemaRefs/>
</ds:datastoreItem>
</file>

<file path=customXml/itemProps31.xml><?xml version="1.0" encoding="utf-8"?>
<ds:datastoreItem xmlns:ds="http://schemas.openxmlformats.org/officeDocument/2006/customXml" ds:itemID="{4EC25EAA-49FA-4694-9C3D-85534AB4411A}">
  <ds:schemaRefs/>
</ds:datastoreItem>
</file>

<file path=customXml/itemProps32.xml><?xml version="1.0" encoding="utf-8"?>
<ds:datastoreItem xmlns:ds="http://schemas.openxmlformats.org/officeDocument/2006/customXml" ds:itemID="{ADB8BF64-023D-487F-84F5-CE59E6EFDE3E}">
  <ds:schemaRefs/>
</ds:datastoreItem>
</file>

<file path=customXml/itemProps33.xml><?xml version="1.0" encoding="utf-8"?>
<ds:datastoreItem xmlns:ds="http://schemas.openxmlformats.org/officeDocument/2006/customXml" ds:itemID="{A40B2ED1-466B-4F54-B0E1-25F34E0F2B4B}">
  <ds:schemaRefs/>
</ds:datastoreItem>
</file>

<file path=customXml/itemProps34.xml><?xml version="1.0" encoding="utf-8"?>
<ds:datastoreItem xmlns:ds="http://schemas.openxmlformats.org/officeDocument/2006/customXml" ds:itemID="{C503A8D5-C8A8-4715-B257-15DE940D2A7E}">
  <ds:schemaRefs/>
</ds:datastoreItem>
</file>

<file path=customXml/itemProps35.xml><?xml version="1.0" encoding="utf-8"?>
<ds:datastoreItem xmlns:ds="http://schemas.openxmlformats.org/officeDocument/2006/customXml" ds:itemID="{B5D99338-060B-492F-B489-95F040E1172F}">
  <ds:schemaRefs/>
</ds:datastoreItem>
</file>

<file path=customXml/itemProps36.xml><?xml version="1.0" encoding="utf-8"?>
<ds:datastoreItem xmlns:ds="http://schemas.openxmlformats.org/officeDocument/2006/customXml" ds:itemID="{60CEA813-EA63-4D48-9051-E37FF1426267}">
  <ds:schemaRefs/>
</ds:datastoreItem>
</file>

<file path=customXml/itemProps37.xml><?xml version="1.0" encoding="utf-8"?>
<ds:datastoreItem xmlns:ds="http://schemas.openxmlformats.org/officeDocument/2006/customXml" ds:itemID="{02B91314-A3D3-4953-AADA-4DC68B88A894}">
  <ds:schemaRefs/>
</ds:datastoreItem>
</file>

<file path=customXml/itemProps38.xml><?xml version="1.0" encoding="utf-8"?>
<ds:datastoreItem xmlns:ds="http://schemas.openxmlformats.org/officeDocument/2006/customXml" ds:itemID="{74A4F21E-9342-4B9E-8904-B16DAEC877A0}">
  <ds:schemaRefs/>
</ds:datastoreItem>
</file>

<file path=customXml/itemProps39.xml><?xml version="1.0" encoding="utf-8"?>
<ds:datastoreItem xmlns:ds="http://schemas.openxmlformats.org/officeDocument/2006/customXml" ds:itemID="{2BF7A221-C810-4C1B-99CE-3B69855DAED0}">
  <ds:schemaRefs/>
</ds:datastoreItem>
</file>

<file path=customXml/itemProps4.xml><?xml version="1.0" encoding="utf-8"?>
<ds:datastoreItem xmlns:ds="http://schemas.openxmlformats.org/officeDocument/2006/customXml" ds:itemID="{1E6F3A73-9F8D-4AE8-A5BD-3EC0CC4920D1}">
  <ds:schemaRefs/>
</ds:datastoreItem>
</file>

<file path=customXml/itemProps40.xml><?xml version="1.0" encoding="utf-8"?>
<ds:datastoreItem xmlns:ds="http://schemas.openxmlformats.org/officeDocument/2006/customXml" ds:itemID="{E16EBA09-7433-402D-8720-31038B7A6EC9}">
  <ds:schemaRefs/>
</ds:datastoreItem>
</file>

<file path=customXml/itemProps41.xml><?xml version="1.0" encoding="utf-8"?>
<ds:datastoreItem xmlns:ds="http://schemas.openxmlformats.org/officeDocument/2006/customXml" ds:itemID="{049E9820-C1D6-4C34-8ED0-D1684588593C}">
  <ds:schemaRefs/>
</ds:datastoreItem>
</file>

<file path=customXml/itemProps42.xml><?xml version="1.0" encoding="utf-8"?>
<ds:datastoreItem xmlns:ds="http://schemas.openxmlformats.org/officeDocument/2006/customXml" ds:itemID="{DAA34F62-E434-4E41-8462-E94774310334}">
  <ds:schemaRefs/>
</ds:datastoreItem>
</file>

<file path=customXml/itemProps43.xml><?xml version="1.0" encoding="utf-8"?>
<ds:datastoreItem xmlns:ds="http://schemas.openxmlformats.org/officeDocument/2006/customXml" ds:itemID="{6918592C-5355-495E-812D-EF1C49655C82}">
  <ds:schemaRefs/>
</ds:datastoreItem>
</file>

<file path=customXml/itemProps44.xml><?xml version="1.0" encoding="utf-8"?>
<ds:datastoreItem xmlns:ds="http://schemas.openxmlformats.org/officeDocument/2006/customXml" ds:itemID="{0CC52FC6-3B28-4A79-802B-D3F09C8A7BE7}">
  <ds:schemaRefs/>
</ds:datastoreItem>
</file>

<file path=customXml/itemProps45.xml><?xml version="1.0" encoding="utf-8"?>
<ds:datastoreItem xmlns:ds="http://schemas.openxmlformats.org/officeDocument/2006/customXml" ds:itemID="{668EFF57-8453-478A-B58D-88743DB995F5}">
  <ds:schemaRefs/>
</ds:datastoreItem>
</file>

<file path=customXml/itemProps46.xml><?xml version="1.0" encoding="utf-8"?>
<ds:datastoreItem xmlns:ds="http://schemas.openxmlformats.org/officeDocument/2006/customXml" ds:itemID="{EE398F03-DFC8-45B6-BF0E-45BC42FE657F}">
  <ds:schemaRefs/>
</ds:datastoreItem>
</file>

<file path=customXml/itemProps47.xml><?xml version="1.0" encoding="utf-8"?>
<ds:datastoreItem xmlns:ds="http://schemas.openxmlformats.org/officeDocument/2006/customXml" ds:itemID="{6CA34ADF-6E0F-4160-A614-FD3F5E0A87BE}">
  <ds:schemaRefs/>
</ds:datastoreItem>
</file>

<file path=customXml/itemProps48.xml><?xml version="1.0" encoding="utf-8"?>
<ds:datastoreItem xmlns:ds="http://schemas.openxmlformats.org/officeDocument/2006/customXml" ds:itemID="{F24FC65B-E044-4AD8-9365-E0A15EAD34DE}">
  <ds:schemaRefs/>
</ds:datastoreItem>
</file>

<file path=customXml/itemProps49.xml><?xml version="1.0" encoding="utf-8"?>
<ds:datastoreItem xmlns:ds="http://schemas.openxmlformats.org/officeDocument/2006/customXml" ds:itemID="{62E2A660-FB8E-4229-B30A-F8C92A45323D}">
  <ds:schemaRefs/>
</ds:datastoreItem>
</file>

<file path=customXml/itemProps5.xml><?xml version="1.0" encoding="utf-8"?>
<ds:datastoreItem xmlns:ds="http://schemas.openxmlformats.org/officeDocument/2006/customXml" ds:itemID="{3831AABA-132B-48E0-B637-74B290305354}">
  <ds:schemaRefs/>
</ds:datastoreItem>
</file>

<file path=customXml/itemProps50.xml><?xml version="1.0" encoding="utf-8"?>
<ds:datastoreItem xmlns:ds="http://schemas.openxmlformats.org/officeDocument/2006/customXml" ds:itemID="{F5723F4D-9056-4F0A-BB9D-F5279CA29F69}">
  <ds:schemaRefs/>
</ds:datastoreItem>
</file>

<file path=customXml/itemProps51.xml><?xml version="1.0" encoding="utf-8"?>
<ds:datastoreItem xmlns:ds="http://schemas.openxmlformats.org/officeDocument/2006/customXml" ds:itemID="{2BDE3C57-8B8B-46B3-A13E-3C84271E2515}">
  <ds:schemaRefs/>
</ds:datastoreItem>
</file>

<file path=customXml/itemProps52.xml><?xml version="1.0" encoding="utf-8"?>
<ds:datastoreItem xmlns:ds="http://schemas.openxmlformats.org/officeDocument/2006/customXml" ds:itemID="{D400D43C-E491-4639-AFB8-633BCC7E1190}">
  <ds:schemaRefs/>
</ds:datastoreItem>
</file>

<file path=customXml/itemProps53.xml><?xml version="1.0" encoding="utf-8"?>
<ds:datastoreItem xmlns:ds="http://schemas.openxmlformats.org/officeDocument/2006/customXml" ds:itemID="{E627FF6E-3933-4FC6-94D6-016523BABD1D}">
  <ds:schemaRefs/>
</ds:datastoreItem>
</file>

<file path=customXml/itemProps54.xml><?xml version="1.0" encoding="utf-8"?>
<ds:datastoreItem xmlns:ds="http://schemas.openxmlformats.org/officeDocument/2006/customXml" ds:itemID="{8C81D0AF-049E-473B-A5D7-B289DF7B1770}">
  <ds:schemaRefs/>
</ds:datastoreItem>
</file>

<file path=customXml/itemProps55.xml><?xml version="1.0" encoding="utf-8"?>
<ds:datastoreItem xmlns:ds="http://schemas.openxmlformats.org/officeDocument/2006/customXml" ds:itemID="{5C786171-C7A1-48AB-958C-3DA291CC3A75}">
  <ds:schemaRefs/>
</ds:datastoreItem>
</file>

<file path=customXml/itemProps56.xml><?xml version="1.0" encoding="utf-8"?>
<ds:datastoreItem xmlns:ds="http://schemas.openxmlformats.org/officeDocument/2006/customXml" ds:itemID="{1648A709-7E8E-42A2-82D2-6E13BBB2A830}">
  <ds:schemaRefs/>
</ds:datastoreItem>
</file>

<file path=customXml/itemProps57.xml><?xml version="1.0" encoding="utf-8"?>
<ds:datastoreItem xmlns:ds="http://schemas.openxmlformats.org/officeDocument/2006/customXml" ds:itemID="{592D51D8-1D7C-4617-9C4E-532050A88BAC}">
  <ds:schemaRefs/>
</ds:datastoreItem>
</file>

<file path=customXml/itemProps58.xml><?xml version="1.0" encoding="utf-8"?>
<ds:datastoreItem xmlns:ds="http://schemas.openxmlformats.org/officeDocument/2006/customXml" ds:itemID="{5FC774E5-A72E-4032-9FD1-949B4641EC3C}">
  <ds:schemaRefs/>
</ds:datastoreItem>
</file>

<file path=customXml/itemProps59.xml><?xml version="1.0" encoding="utf-8"?>
<ds:datastoreItem xmlns:ds="http://schemas.openxmlformats.org/officeDocument/2006/customXml" ds:itemID="{C4A4F2EF-D6E4-4539-BCB1-FAF93F67D6A5}">
  <ds:schemaRefs/>
</ds:datastoreItem>
</file>

<file path=customXml/itemProps6.xml><?xml version="1.0" encoding="utf-8"?>
<ds:datastoreItem xmlns:ds="http://schemas.openxmlformats.org/officeDocument/2006/customXml" ds:itemID="{2B54F626-7CEA-4758-919E-F2CC58D5BFF3}">
  <ds:schemaRefs/>
</ds:datastoreItem>
</file>

<file path=customXml/itemProps7.xml><?xml version="1.0" encoding="utf-8"?>
<ds:datastoreItem xmlns:ds="http://schemas.openxmlformats.org/officeDocument/2006/customXml" ds:itemID="{573FE0A3-3663-4F74-A156-0D1D09A7A257}">
  <ds:schemaRefs/>
</ds:datastoreItem>
</file>

<file path=customXml/itemProps8.xml><?xml version="1.0" encoding="utf-8"?>
<ds:datastoreItem xmlns:ds="http://schemas.openxmlformats.org/officeDocument/2006/customXml" ds:itemID="{8725F28A-A573-436B-98B5-34557E147AB6}">
  <ds:schemaRefs/>
</ds:datastoreItem>
</file>

<file path=customXml/itemProps9.xml><?xml version="1.0" encoding="utf-8"?>
<ds:datastoreItem xmlns:ds="http://schemas.openxmlformats.org/officeDocument/2006/customXml" ds:itemID="{70340B64-CA1C-4131-A214-725F3F972ADE}">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34</Pages>
  <Words>2581</Words>
  <Characters>14716</Characters>
  <Lines>122</Lines>
  <Paragraphs>34</Paragraphs>
  <TotalTime>5</TotalTime>
  <ScaleCrop>false</ScaleCrop>
  <LinksUpToDate>false</LinksUpToDate>
  <CharactersWithSpaces>17263</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2025-01-15T14:47:00Z</dcterms:created>
  <dc:creator>hp</dc:creator>
  <cp:lastModifiedBy>天津市工业和信息化局</cp:lastModifiedBy>
  <dcterms:modified xsi:type="dcterms:W3CDTF">2025-03-07T08:43:26Z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