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天津市工业和信息化局</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3" w:type="first"/>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1.2025年制造业高质量协同发展项目绩效目标表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2.2025世界智能产业博览会项目资金绩效目标表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3.电力需求侧管理专项资金绩效目标表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4.购买保密设备设施等绩效目标表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5.计算机技术与软件专业技术资格（水平）考试绩效目标表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6.节能减排补助资金——中央绩效目标表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7.京津冀产业链供应链大会项目绩效目标表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rPr>
          <w:rFonts w:hint="eastAsia"/>
          <w:lang w:val="en-US" w:eastAsia="zh-CN"/>
        </w:rPr>
        <w:t>8</w:t>
      </w:r>
      <w:r>
        <w:t>.频率台站系统（行政许可相关功能）升级改造等级保护测评服务项目—中央绩效目标表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rPr>
          <w:rFonts w:hint="eastAsia"/>
          <w:lang w:val="en-US" w:eastAsia="zh-CN"/>
        </w:rPr>
        <w:t>9</w:t>
      </w:r>
      <w:r>
        <w:t>.市公共卫生应急物资储备库项目绩效目标表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w:t>
      </w:r>
      <w:r>
        <w:rPr>
          <w:rFonts w:hint="eastAsia"/>
          <w:lang w:val="en-US" w:eastAsia="zh-CN"/>
        </w:rPr>
        <w:t>0</w:t>
      </w:r>
      <w:r>
        <w:t>.天津市新能源和智能网联汽车产业发展支撑项目绩效目标表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w:t>
      </w:r>
      <w:r>
        <w:rPr>
          <w:rFonts w:hint="eastAsia"/>
          <w:lang w:val="en-US" w:eastAsia="zh-CN"/>
        </w:rPr>
        <w:t>1</w:t>
      </w:r>
      <w:r>
        <w:t>.无线电管理技术设备运维—中央绩效目标表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w:t>
      </w:r>
      <w:r>
        <w:rPr>
          <w:rFonts w:hint="eastAsia"/>
          <w:lang w:val="en-US" w:eastAsia="zh-CN"/>
        </w:rPr>
        <w:t>2</w:t>
      </w:r>
      <w:r>
        <w:t>.无线电管理专项监管—中央绩效目标表</w:t>
      </w:r>
      <w:r>
        <w:fldChar w:fldCharType="end"/>
      </w:r>
    </w:p>
    <w:p>
      <w:pPr>
        <w:pStyle w:val="17"/>
        <w:tabs>
          <w:tab w:val="right" w:leader="dot" w:pos="9282"/>
        </w:tabs>
      </w:pPr>
      <w:r>
        <w:fldChar w:fldCharType="begin"/>
      </w:r>
      <w:r>
        <w:instrText xml:space="preserve"> HYPERLINK \l "_Toc_4_4_0000000018" </w:instrText>
      </w:r>
      <w:r>
        <w:fldChar w:fldCharType="separate"/>
      </w:r>
      <w:r>
        <w:t>1</w:t>
      </w:r>
      <w:r>
        <w:rPr>
          <w:rFonts w:hint="eastAsia"/>
          <w:lang w:val="en-US" w:eastAsia="zh-CN"/>
        </w:rPr>
        <w:t>3</w:t>
      </w:r>
      <w:r>
        <w:t>.无线电频率审批相关支持项目—中央绩效目标表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w:t>
      </w:r>
      <w:r>
        <w:rPr>
          <w:rFonts w:hint="eastAsia"/>
          <w:lang w:val="en-US" w:eastAsia="zh-CN"/>
        </w:rPr>
        <w:t>4</w:t>
      </w:r>
      <w:r>
        <w:t>.无线电专项监管-中央绩效目标表</w:t>
      </w:r>
      <w:r>
        <w:fldChar w:fldCharType="end"/>
      </w:r>
    </w:p>
    <w:p>
      <w:pPr>
        <w:pStyle w:val="17"/>
        <w:tabs>
          <w:tab w:val="right" w:leader="dot" w:pos="9282"/>
        </w:tabs>
      </w:pPr>
      <w:r>
        <w:fldChar w:fldCharType="begin"/>
      </w:r>
      <w:r>
        <w:instrText xml:space="preserve"> HYPERLINK \l "_Toc_4_4_0000000020" </w:instrText>
      </w:r>
      <w:r>
        <w:fldChar w:fldCharType="separate"/>
      </w:r>
      <w:r>
        <w:t>1</w:t>
      </w:r>
      <w:r>
        <w:rPr>
          <w:rFonts w:hint="eastAsia"/>
          <w:lang w:val="en-US" w:eastAsia="zh-CN"/>
        </w:rPr>
        <w:t>5</w:t>
      </w:r>
      <w:r>
        <w:t>.新能源汽车推广应用补贴绩效目标表</w:t>
      </w:r>
      <w:r>
        <w:fldChar w:fldCharType="end"/>
      </w:r>
    </w:p>
    <w:p>
      <w:pPr>
        <w:pStyle w:val="17"/>
        <w:tabs>
          <w:tab w:val="right" w:leader="dot" w:pos="9282"/>
        </w:tabs>
      </w:pPr>
      <w:r>
        <w:fldChar w:fldCharType="begin"/>
      </w:r>
      <w:r>
        <w:instrText xml:space="preserve"> HYPERLINK \l "_Toc_4_4_0000000021" </w:instrText>
      </w:r>
      <w:r>
        <w:fldChar w:fldCharType="separate"/>
      </w:r>
      <w:r>
        <w:t>1</w:t>
      </w:r>
      <w:r>
        <w:rPr>
          <w:rFonts w:hint="eastAsia"/>
          <w:lang w:val="en-US" w:eastAsia="zh-CN"/>
        </w:rPr>
        <w:t>6</w:t>
      </w:r>
      <w:r>
        <w:t>.稽查总队制造业高质量协同发展项目绩效目标表</w:t>
      </w:r>
      <w:r>
        <w:fldChar w:fldCharType="end"/>
      </w:r>
    </w:p>
    <w:p>
      <w:pPr>
        <w:pStyle w:val="17"/>
        <w:tabs>
          <w:tab w:val="right" w:leader="dot" w:pos="9282"/>
        </w:tabs>
      </w:pPr>
      <w:r>
        <w:fldChar w:fldCharType="begin"/>
      </w:r>
      <w:r>
        <w:instrText xml:space="preserve"> HYPERLINK \l "_Toc_4_4_0000000022" </w:instrText>
      </w:r>
      <w:r>
        <w:fldChar w:fldCharType="separate"/>
      </w:r>
      <w:r>
        <w:t>1</w:t>
      </w:r>
      <w:r>
        <w:rPr>
          <w:rFonts w:hint="eastAsia"/>
          <w:lang w:val="en-US" w:eastAsia="zh-CN"/>
        </w:rPr>
        <w:t>7</w:t>
      </w:r>
      <w:r>
        <w:t>.稽查执法专项经费绩效目标表</w:t>
      </w:r>
      <w:r>
        <w:fldChar w:fldCharType="end"/>
      </w:r>
    </w:p>
    <w:p>
      <w:pPr>
        <w:pStyle w:val="17"/>
        <w:tabs>
          <w:tab w:val="right" w:leader="dot" w:pos="9282"/>
        </w:tabs>
      </w:pPr>
      <w:r>
        <w:fldChar w:fldCharType="begin"/>
      </w:r>
      <w:r>
        <w:instrText xml:space="preserve"> HYPERLINK \l "_Toc_4_4_0000000023" </w:instrText>
      </w:r>
      <w:r>
        <w:fldChar w:fldCharType="separate"/>
      </w:r>
      <w:r>
        <w:rPr>
          <w:rFonts w:hint="eastAsia"/>
          <w:lang w:val="en-US" w:eastAsia="zh-CN"/>
        </w:rPr>
        <w:t>18</w:t>
      </w:r>
      <w:r>
        <w:t>.无线电管理设施建设项目—中央绩效目标表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rPr>
          <w:rFonts w:hint="eastAsia"/>
          <w:lang w:val="en-US" w:eastAsia="zh-CN"/>
        </w:rPr>
        <w:t>19</w:t>
      </w:r>
      <w:r>
        <w:t>.无线电管理设施运行维护项目—中央绩效目标表</w:t>
      </w:r>
      <w:r>
        <w:fldChar w:fldCharType="end"/>
      </w:r>
    </w:p>
    <w:p>
      <w:pPr>
        <w:pStyle w:val="17"/>
        <w:tabs>
          <w:tab w:val="right" w:leader="dot" w:pos="9282"/>
        </w:tabs>
      </w:pPr>
      <w:r>
        <w:fldChar w:fldCharType="begin"/>
      </w:r>
      <w:r>
        <w:instrText xml:space="preserve"> HYPERLINK \l "_Toc_4_4_0000000025" </w:instrText>
      </w:r>
      <w:r>
        <w:fldChar w:fldCharType="separate"/>
      </w:r>
      <w:r>
        <w:t>2</w:t>
      </w:r>
      <w:r>
        <w:rPr>
          <w:rFonts w:hint="eastAsia"/>
          <w:lang w:val="en-US" w:eastAsia="zh-CN"/>
        </w:rPr>
        <w:t>0</w:t>
      </w:r>
      <w:r>
        <w:t>.无线电基础设施建设项目-中央绩效目标表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t>2</w:t>
      </w:r>
      <w:r>
        <w:rPr>
          <w:rFonts w:hint="eastAsia"/>
          <w:lang w:val="en-US" w:eastAsia="zh-CN"/>
        </w:rPr>
        <w:t>1</w:t>
      </w:r>
      <w:r>
        <w:t>.无线电设施运行维护费-中央绩效目标表</w:t>
      </w:r>
      <w:r>
        <w:fldChar w:fldCharType="end"/>
      </w:r>
    </w:p>
    <w:p>
      <w:pPr>
        <w:pStyle w:val="17"/>
        <w:tabs>
          <w:tab w:val="right" w:leader="dot" w:pos="9282"/>
        </w:tabs>
      </w:pPr>
      <w:r>
        <w:fldChar w:fldCharType="begin"/>
      </w:r>
      <w:r>
        <w:instrText xml:space="preserve"> HYPERLINK \l "_Toc_4_4_0000000027" </w:instrText>
      </w:r>
      <w:r>
        <w:fldChar w:fldCharType="separate"/>
      </w:r>
      <w:r>
        <w:t>2</w:t>
      </w:r>
      <w:r>
        <w:rPr>
          <w:rFonts w:hint="eastAsia"/>
          <w:lang w:val="en-US" w:eastAsia="zh-CN"/>
        </w:rPr>
        <w:t>2</w:t>
      </w:r>
      <w:r>
        <w:t>.无线电专项监管-中央绩效目标表</w:t>
      </w:r>
      <w:r>
        <w:fldChar w:fldCharType="end"/>
      </w:r>
    </w:p>
    <w:p>
      <w:pPr>
        <w:pStyle w:val="17"/>
        <w:tabs>
          <w:tab w:val="right" w:leader="dot" w:pos="9282"/>
        </w:tabs>
      </w:pPr>
      <w:r>
        <w:fldChar w:fldCharType="begin"/>
      </w:r>
      <w:r>
        <w:instrText xml:space="preserve"> HYPERLINK \l "_Toc_4_4_0000000028" </w:instrText>
      </w:r>
      <w:r>
        <w:fldChar w:fldCharType="separate"/>
      </w:r>
      <w:r>
        <w:t>2</w:t>
      </w:r>
      <w:r>
        <w:rPr>
          <w:rFonts w:hint="eastAsia"/>
          <w:lang w:val="en-US" w:eastAsia="zh-CN"/>
        </w:rPr>
        <w:t>3</w:t>
      </w:r>
      <w:r>
        <w:t>.专项监管及其他项目—中央绩效目标表</w:t>
      </w:r>
      <w:r>
        <w:fldChar w:fldCharType="end"/>
      </w:r>
    </w:p>
    <w:p>
      <w:pPr>
        <w:pStyle w:val="17"/>
        <w:tabs>
          <w:tab w:val="right" w:leader="dot" w:pos="9282"/>
        </w:tabs>
      </w:pPr>
      <w:r>
        <w:fldChar w:fldCharType="begin"/>
      </w:r>
      <w:r>
        <w:instrText xml:space="preserve"> HYPERLINK \l "_Toc_4_4_0000000029" </w:instrText>
      </w:r>
      <w:r>
        <w:fldChar w:fldCharType="separate"/>
      </w:r>
      <w:r>
        <w:t>2</w:t>
      </w:r>
      <w:r>
        <w:rPr>
          <w:rFonts w:hint="eastAsia"/>
          <w:lang w:val="en-US" w:eastAsia="zh-CN"/>
        </w:rPr>
        <w:t>4</w:t>
      </w:r>
      <w:r>
        <w:t>.公共服务平台网络安全服务绩效目标表</w:t>
      </w:r>
      <w:r>
        <w:fldChar w:fldCharType="end"/>
      </w:r>
    </w:p>
    <w:p>
      <w:pPr>
        <w:pStyle w:val="17"/>
        <w:tabs>
          <w:tab w:val="right" w:leader="dot" w:pos="9282"/>
        </w:tabs>
      </w:pPr>
      <w:r>
        <w:fldChar w:fldCharType="begin"/>
      </w:r>
      <w:r>
        <w:instrText xml:space="preserve"> HYPERLINK \l "_Toc_4_4_0000000030" </w:instrText>
      </w:r>
      <w:r>
        <w:fldChar w:fldCharType="separate"/>
      </w:r>
      <w:r>
        <w:t>2</w:t>
      </w:r>
      <w:r>
        <w:rPr>
          <w:rFonts w:hint="eastAsia"/>
          <w:lang w:val="en-US" w:eastAsia="zh-CN"/>
        </w:rPr>
        <w:t>5</w:t>
      </w:r>
      <w:r>
        <w:t>.军民融合发展促进中心制造业高质量协同发展项目绩效目标表</w:t>
      </w:r>
      <w:r>
        <w:fldChar w:fldCharType="end"/>
      </w:r>
    </w:p>
    <w:p>
      <w:pPr>
        <w:sectPr>
          <w:footerReference r:id="rId4" w:type="default"/>
          <w:footerReference r:id="rId5"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1.2025年制造业高质量协同发展项目绩效目标表</w:t>
      </w:r>
      <w:bookmarkEnd w:id="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2025年制造业高质量协同发展项目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2471.00</w:t>
            </w:r>
          </w:p>
        </w:tc>
        <w:tc>
          <w:tcPr>
            <w:tcW w:w="1587" w:type="dxa"/>
            <w:vAlign w:val="center"/>
          </w:tcPr>
          <w:p>
            <w:pPr>
              <w:pStyle w:val="13"/>
            </w:pPr>
            <w:r>
              <w:t>其中：财政    资金</w:t>
            </w:r>
          </w:p>
        </w:tc>
        <w:tc>
          <w:tcPr>
            <w:tcW w:w="1843" w:type="dxa"/>
            <w:vAlign w:val="center"/>
          </w:tcPr>
          <w:p>
            <w:pPr>
              <w:pStyle w:val="12"/>
            </w:pPr>
            <w:r>
              <w:t>2471.00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市工信局制造业高质量协同发展项目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1.保障局机关办公运行，以及工业和信息化各项工作顺利推动。</w:t>
            </w:r>
            <w:r>
              <w:tab/>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保障重点工作数量</w:t>
            </w:r>
          </w:p>
        </w:tc>
        <w:tc>
          <w:tcPr>
            <w:tcW w:w="3430" w:type="dxa"/>
            <w:vAlign w:val="center"/>
          </w:tcPr>
          <w:p>
            <w:pPr>
              <w:pStyle w:val="12"/>
            </w:pPr>
            <w:r>
              <w:t>保障重点工作数量</w:t>
            </w:r>
          </w:p>
        </w:tc>
        <w:tc>
          <w:tcPr>
            <w:tcW w:w="2551" w:type="dxa"/>
            <w:vAlign w:val="center"/>
          </w:tcPr>
          <w:p>
            <w:pPr>
              <w:pStyle w:val="12"/>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重点工作完成率</w:t>
            </w:r>
          </w:p>
        </w:tc>
        <w:tc>
          <w:tcPr>
            <w:tcW w:w="3430" w:type="dxa"/>
            <w:vAlign w:val="center"/>
          </w:tcPr>
          <w:p>
            <w:pPr>
              <w:pStyle w:val="12"/>
            </w:pPr>
            <w:r>
              <w:t>重点工作完成率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资金拨付完成时间</w:t>
            </w:r>
          </w:p>
        </w:tc>
        <w:tc>
          <w:tcPr>
            <w:tcW w:w="3430" w:type="dxa"/>
            <w:vAlign w:val="center"/>
          </w:tcPr>
          <w:p>
            <w:pPr>
              <w:pStyle w:val="12"/>
            </w:pPr>
            <w:r>
              <w:t>资金拨付完成时间</w:t>
            </w:r>
          </w:p>
        </w:tc>
        <w:tc>
          <w:tcPr>
            <w:tcW w:w="2551" w:type="dxa"/>
            <w:vAlign w:val="center"/>
          </w:tcPr>
          <w:p>
            <w:pPr>
              <w:pStyle w:val="1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重点工作完成时间</w:t>
            </w:r>
          </w:p>
        </w:tc>
        <w:tc>
          <w:tcPr>
            <w:tcW w:w="3430" w:type="dxa"/>
            <w:vAlign w:val="center"/>
          </w:tcPr>
          <w:p>
            <w:pPr>
              <w:pStyle w:val="12"/>
            </w:pPr>
            <w:r>
              <w:t>重点工作完成时间</w:t>
            </w:r>
          </w:p>
        </w:tc>
        <w:tc>
          <w:tcPr>
            <w:tcW w:w="2551" w:type="dxa"/>
            <w:vAlign w:val="center"/>
          </w:tcPr>
          <w:p>
            <w:pPr>
              <w:pStyle w:val="1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拨付财政资金</w:t>
            </w:r>
          </w:p>
        </w:tc>
        <w:tc>
          <w:tcPr>
            <w:tcW w:w="3430" w:type="dxa"/>
            <w:vAlign w:val="center"/>
          </w:tcPr>
          <w:p>
            <w:pPr>
              <w:pStyle w:val="12"/>
            </w:pPr>
            <w:r>
              <w:t>拨付财政资金</w:t>
            </w:r>
          </w:p>
        </w:tc>
        <w:tc>
          <w:tcPr>
            <w:tcW w:w="2551" w:type="dxa"/>
            <w:vAlign w:val="center"/>
          </w:tcPr>
          <w:p>
            <w:pPr>
              <w:pStyle w:val="12"/>
            </w:pPr>
            <w:r>
              <w:t>≤2471万元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工业和信息化工作</w:t>
            </w:r>
          </w:p>
        </w:tc>
        <w:tc>
          <w:tcPr>
            <w:tcW w:w="3430" w:type="dxa"/>
            <w:vAlign w:val="center"/>
          </w:tcPr>
          <w:p>
            <w:pPr>
              <w:pStyle w:val="12"/>
            </w:pPr>
            <w:r>
              <w:t>工业和信息化工作</w:t>
            </w:r>
          </w:p>
        </w:tc>
        <w:tc>
          <w:tcPr>
            <w:tcW w:w="2551" w:type="dxa"/>
            <w:vAlign w:val="center"/>
          </w:tcPr>
          <w:p>
            <w:pPr>
              <w:pStyle w:val="12"/>
            </w:pPr>
            <w:r>
              <w:t>有力推动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保障机关工作运行</w:t>
            </w:r>
          </w:p>
        </w:tc>
        <w:tc>
          <w:tcPr>
            <w:tcW w:w="3430" w:type="dxa"/>
            <w:vAlign w:val="center"/>
          </w:tcPr>
          <w:p>
            <w:pPr>
              <w:pStyle w:val="12"/>
            </w:pPr>
            <w:r>
              <w:t>保障机关工作运行</w:t>
            </w:r>
          </w:p>
        </w:tc>
        <w:tc>
          <w:tcPr>
            <w:tcW w:w="2551" w:type="dxa"/>
            <w:vAlign w:val="center"/>
          </w:tcPr>
          <w:p>
            <w:pPr>
              <w:pStyle w:val="12"/>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2.2025世界智能产业博览会项目资金绩效目标表</w:t>
      </w:r>
      <w:bookmarkEnd w:id="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2025世界智能产业博览会项目资金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用于2025年世界智能产业博览会支撑服务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1.2025年世界智能产业博览会在重庆轮值举办所涉及的组委会秘书处支撑工作、成果展示、推介会等组织筹备工作。</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举办展览规模</w:t>
            </w:r>
          </w:p>
        </w:tc>
        <w:tc>
          <w:tcPr>
            <w:tcW w:w="3430" w:type="dxa"/>
            <w:vAlign w:val="center"/>
          </w:tcPr>
          <w:p>
            <w:pPr>
              <w:pStyle w:val="12"/>
            </w:pPr>
            <w:r>
              <w:t>举办展览规模</w:t>
            </w:r>
          </w:p>
        </w:tc>
        <w:tc>
          <w:tcPr>
            <w:tcW w:w="2551" w:type="dxa"/>
            <w:vAlign w:val="center"/>
          </w:tcPr>
          <w:p>
            <w:pPr>
              <w:pStyle w:val="12"/>
            </w:pPr>
            <w:r>
              <w:t>≥360平米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举办推介会</w:t>
            </w:r>
          </w:p>
        </w:tc>
        <w:tc>
          <w:tcPr>
            <w:tcW w:w="3430" w:type="dxa"/>
            <w:vAlign w:val="center"/>
          </w:tcPr>
          <w:p>
            <w:pPr>
              <w:pStyle w:val="12"/>
            </w:pPr>
            <w:r>
              <w:t>举办推介会</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投入资金</w:t>
            </w:r>
          </w:p>
        </w:tc>
        <w:tc>
          <w:tcPr>
            <w:tcW w:w="3430" w:type="dxa"/>
            <w:vAlign w:val="center"/>
          </w:tcPr>
          <w:p>
            <w:pPr>
              <w:pStyle w:val="12"/>
            </w:pPr>
            <w:r>
              <w:t>使用财政资金</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世界智能产业博览会</w:t>
            </w:r>
          </w:p>
        </w:tc>
        <w:tc>
          <w:tcPr>
            <w:tcW w:w="3430" w:type="dxa"/>
            <w:vAlign w:val="center"/>
          </w:tcPr>
          <w:p>
            <w:pPr>
              <w:pStyle w:val="12"/>
            </w:pPr>
            <w:r>
              <w:t>世界智能产业博览会</w:t>
            </w:r>
          </w:p>
        </w:tc>
        <w:tc>
          <w:tcPr>
            <w:tcW w:w="2551" w:type="dxa"/>
            <w:vAlign w:val="center"/>
          </w:tcPr>
          <w:p>
            <w:pPr>
              <w:pStyle w:val="12"/>
            </w:pPr>
            <w:r>
              <w:t>顺利成功举办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我市产业形象</w:t>
            </w:r>
          </w:p>
        </w:tc>
        <w:tc>
          <w:tcPr>
            <w:tcW w:w="3430" w:type="dxa"/>
            <w:vAlign w:val="center"/>
          </w:tcPr>
          <w:p>
            <w:pPr>
              <w:pStyle w:val="12"/>
            </w:pPr>
            <w:r>
              <w:t>我市产业形象</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参会人员满意度</w:t>
            </w:r>
          </w:p>
        </w:tc>
        <w:tc>
          <w:tcPr>
            <w:tcW w:w="3430" w:type="dxa"/>
            <w:vAlign w:val="center"/>
          </w:tcPr>
          <w:p>
            <w:pPr>
              <w:pStyle w:val="12"/>
            </w:pPr>
            <w:r>
              <w:t>参会人员满意度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3.电力需求侧管理专项资金绩效目标表</w:t>
      </w:r>
      <w:bookmarkEnd w:id="2"/>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645.00</w:t>
            </w:r>
          </w:p>
        </w:tc>
        <w:tc>
          <w:tcPr>
            <w:tcW w:w="1587" w:type="dxa"/>
            <w:vAlign w:val="center"/>
          </w:tcPr>
          <w:p>
            <w:pPr>
              <w:pStyle w:val="13"/>
            </w:pPr>
            <w:r>
              <w:t>其中：财政    资金</w:t>
            </w:r>
          </w:p>
        </w:tc>
        <w:tc>
          <w:tcPr>
            <w:tcW w:w="1843" w:type="dxa"/>
            <w:vAlign w:val="center"/>
          </w:tcPr>
          <w:p>
            <w:pPr>
              <w:pStyle w:val="12"/>
            </w:pPr>
            <w:r>
              <w:t>645.00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拨付电力需求响应补贴资金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加强电力需求侧管理，支持电力需求响应，视电力供需情况启动，按实际贡献补贴参与主体，实现削峰填谷，促进电力供需平衡，深化电力负荷管理，推进新型电力负荷管理系统建设，增强用电监测调控能力，促进电力安全保供，支持引导用户科学用电、节约用电、错峰用电。</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电力需求响应能力占最大负荷比例</w:t>
            </w:r>
          </w:p>
        </w:tc>
        <w:tc>
          <w:tcPr>
            <w:tcW w:w="3430" w:type="dxa"/>
            <w:vAlign w:val="center"/>
          </w:tcPr>
          <w:p>
            <w:pPr>
              <w:pStyle w:val="12"/>
            </w:pPr>
            <w:r>
              <w:t>电力需求响应能力占最大负荷比例</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系统负荷控制能力占最大负荷比例</w:t>
            </w:r>
          </w:p>
        </w:tc>
        <w:tc>
          <w:tcPr>
            <w:tcW w:w="3430" w:type="dxa"/>
            <w:vAlign w:val="center"/>
          </w:tcPr>
          <w:p>
            <w:pPr>
              <w:pStyle w:val="12"/>
            </w:pPr>
            <w:r>
              <w:t>系统负荷控制能力占最大负荷比例</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负荷监测能力占最大负荷比例</w:t>
            </w:r>
          </w:p>
        </w:tc>
        <w:tc>
          <w:tcPr>
            <w:tcW w:w="3430" w:type="dxa"/>
            <w:vAlign w:val="center"/>
          </w:tcPr>
          <w:p>
            <w:pPr>
              <w:pStyle w:val="12"/>
            </w:pPr>
            <w:r>
              <w:t>负荷监测能力占最大负荷比例</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财政资金拨付合规性 </w:t>
            </w:r>
          </w:p>
        </w:tc>
        <w:tc>
          <w:tcPr>
            <w:tcW w:w="3430" w:type="dxa"/>
            <w:vAlign w:val="center"/>
          </w:tcPr>
          <w:p>
            <w:pPr>
              <w:pStyle w:val="12"/>
            </w:pPr>
            <w:r>
              <w:t xml:space="preserve">财政资金拨付合规性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资金拨付时间 </w:t>
            </w:r>
          </w:p>
        </w:tc>
        <w:tc>
          <w:tcPr>
            <w:tcW w:w="3430" w:type="dxa"/>
            <w:vAlign w:val="center"/>
          </w:tcPr>
          <w:p>
            <w:pPr>
              <w:pStyle w:val="12"/>
            </w:pPr>
            <w:r>
              <w:t xml:space="preserve">资金拨付时间 </w:t>
            </w:r>
          </w:p>
        </w:tc>
        <w:tc>
          <w:tcPr>
            <w:tcW w:w="2551" w:type="dxa"/>
            <w:vAlign w:val="center"/>
          </w:tcPr>
          <w:p>
            <w:pPr>
              <w:pStyle w:val="12"/>
            </w:pPr>
            <w:r>
              <w:t xml:space="preserve">2025年12月底前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填谷补贴标准</w:t>
            </w:r>
          </w:p>
        </w:tc>
        <w:tc>
          <w:tcPr>
            <w:tcW w:w="3430" w:type="dxa"/>
            <w:vAlign w:val="center"/>
          </w:tcPr>
          <w:p>
            <w:pPr>
              <w:pStyle w:val="12"/>
            </w:pPr>
            <w:r>
              <w:t>填谷补贴标准</w:t>
            </w:r>
          </w:p>
        </w:tc>
        <w:tc>
          <w:tcPr>
            <w:tcW w:w="2551" w:type="dxa"/>
            <w:vAlign w:val="center"/>
          </w:tcPr>
          <w:p>
            <w:pPr>
              <w:pStyle w:val="12"/>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削峰补贴标准</w:t>
            </w:r>
          </w:p>
        </w:tc>
        <w:tc>
          <w:tcPr>
            <w:tcW w:w="3430" w:type="dxa"/>
            <w:vAlign w:val="center"/>
          </w:tcPr>
          <w:p>
            <w:pPr>
              <w:pStyle w:val="12"/>
            </w:pPr>
            <w:r>
              <w:t>削峰补贴标准</w:t>
            </w:r>
          </w:p>
        </w:tc>
        <w:tc>
          <w:tcPr>
            <w:tcW w:w="2551" w:type="dxa"/>
            <w:vAlign w:val="center"/>
          </w:tcPr>
          <w:p>
            <w:pPr>
              <w:pStyle w:val="12"/>
            </w:pPr>
            <w:r>
              <w:t>≤10元/千瓦时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促进电力平衡，增强用电灵活性</w:t>
            </w:r>
          </w:p>
        </w:tc>
        <w:tc>
          <w:tcPr>
            <w:tcW w:w="3430" w:type="dxa"/>
            <w:vAlign w:val="center"/>
          </w:tcPr>
          <w:p>
            <w:pPr>
              <w:pStyle w:val="12"/>
            </w:pPr>
            <w:r>
              <w:t>促进电力平衡，增强用电灵活性</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3430" w:type="dxa"/>
            <w:vAlign w:val="center"/>
          </w:tcPr>
          <w:p>
            <w:pPr>
              <w:pStyle w:val="12"/>
            </w:pPr>
            <w:r>
              <w:t>补助对象满意度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4.购买保密设备设施等绩效目标表</w:t>
      </w:r>
      <w:bookmarkEnd w:id="3"/>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1.根据各处室工作职责和任务需求配置涉密设备、在保密要害部位安装安全防护产品，可有效防范失泄密风险隐患，进一步规范和提高机关保密工作管理水平，确保国家秘密安全。</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购买批次</w:t>
            </w:r>
          </w:p>
        </w:tc>
        <w:tc>
          <w:tcPr>
            <w:tcW w:w="3430" w:type="dxa"/>
            <w:vAlign w:val="center"/>
          </w:tcPr>
          <w:p>
            <w:pPr>
              <w:pStyle w:val="12"/>
            </w:pPr>
            <w:r>
              <w:t>购买批次</w:t>
            </w:r>
          </w:p>
        </w:tc>
        <w:tc>
          <w:tcPr>
            <w:tcW w:w="2551" w:type="dxa"/>
            <w:vAlign w:val="center"/>
          </w:tcPr>
          <w:p>
            <w:pPr>
              <w:pStyle w:val="12"/>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设备合格率</w:t>
            </w:r>
          </w:p>
        </w:tc>
        <w:tc>
          <w:tcPr>
            <w:tcW w:w="3430" w:type="dxa"/>
            <w:vAlign w:val="center"/>
          </w:tcPr>
          <w:p>
            <w:pPr>
              <w:pStyle w:val="12"/>
            </w:pPr>
            <w:r>
              <w:t>设备合格率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按照合同完成检测率</w:t>
            </w:r>
          </w:p>
        </w:tc>
        <w:tc>
          <w:tcPr>
            <w:tcW w:w="3430" w:type="dxa"/>
            <w:vAlign w:val="center"/>
          </w:tcPr>
          <w:p>
            <w:pPr>
              <w:pStyle w:val="12"/>
            </w:pPr>
            <w:r>
              <w:t>按照合同完成检测率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购置完成时间</w:t>
            </w:r>
          </w:p>
        </w:tc>
        <w:tc>
          <w:tcPr>
            <w:tcW w:w="3430" w:type="dxa"/>
            <w:vAlign w:val="center"/>
          </w:tcPr>
          <w:p>
            <w:pPr>
              <w:pStyle w:val="12"/>
            </w:pPr>
            <w:r>
              <w:t>购置完成时间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购置成本</w:t>
            </w:r>
          </w:p>
        </w:tc>
        <w:tc>
          <w:tcPr>
            <w:tcW w:w="3430" w:type="dxa"/>
            <w:vAlign w:val="center"/>
          </w:tcPr>
          <w:p>
            <w:pPr>
              <w:pStyle w:val="12"/>
            </w:pPr>
            <w:r>
              <w:t>购置成本</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保密设备使用</w:t>
            </w:r>
          </w:p>
        </w:tc>
        <w:tc>
          <w:tcPr>
            <w:tcW w:w="3430" w:type="dxa"/>
            <w:vAlign w:val="center"/>
          </w:tcPr>
          <w:p>
            <w:pPr>
              <w:pStyle w:val="12"/>
            </w:pPr>
            <w:r>
              <w:t>保密设备使用</w:t>
            </w:r>
          </w:p>
        </w:tc>
        <w:tc>
          <w:tcPr>
            <w:tcW w:w="2551" w:type="dxa"/>
            <w:vAlign w:val="center"/>
          </w:tcPr>
          <w:p>
            <w:pPr>
              <w:pStyle w:val="12"/>
            </w:pPr>
            <w:r>
              <w:t>设备严格根据保密要求购置，符合保密要求，全部达成预期指标，持续提高保密管理水平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失泄密风险隐患</w:t>
            </w:r>
          </w:p>
        </w:tc>
        <w:tc>
          <w:tcPr>
            <w:tcW w:w="3430" w:type="dxa"/>
            <w:vAlign w:val="center"/>
          </w:tcPr>
          <w:p>
            <w:pPr>
              <w:pStyle w:val="12"/>
            </w:pPr>
            <w:r>
              <w:t>失泄密风险隐患</w:t>
            </w:r>
          </w:p>
        </w:tc>
        <w:tc>
          <w:tcPr>
            <w:tcW w:w="2551" w:type="dxa"/>
            <w:vAlign w:val="center"/>
          </w:tcPr>
          <w:p>
            <w:pPr>
              <w:pStyle w:val="1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处室使用满意度</w:t>
            </w:r>
          </w:p>
        </w:tc>
        <w:tc>
          <w:tcPr>
            <w:tcW w:w="3430" w:type="dxa"/>
            <w:vAlign w:val="center"/>
          </w:tcPr>
          <w:p>
            <w:pPr>
              <w:pStyle w:val="12"/>
            </w:pPr>
            <w:r>
              <w:t>处室使用满意度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5.计算机技术与软件专业技术资格（水平）考试绩效目标表</w:t>
      </w:r>
      <w:bookmarkEnd w:id="4"/>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计算机技术与软件专业技术资格（水平）考试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122.00</w:t>
            </w:r>
          </w:p>
        </w:tc>
        <w:tc>
          <w:tcPr>
            <w:tcW w:w="1587" w:type="dxa"/>
            <w:vAlign w:val="center"/>
          </w:tcPr>
          <w:p>
            <w:pPr>
              <w:pStyle w:val="13"/>
            </w:pPr>
            <w:r>
              <w:t>其中：财政    资金</w:t>
            </w:r>
          </w:p>
        </w:tc>
        <w:tc>
          <w:tcPr>
            <w:tcW w:w="1843" w:type="dxa"/>
            <w:vAlign w:val="center"/>
          </w:tcPr>
          <w:p>
            <w:pPr>
              <w:pStyle w:val="12"/>
            </w:pPr>
            <w:r>
              <w:t>122.00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返还全国计算机考试费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1、科学、公正地对全国计算机与软件专业技术人员进行职业资格、专业技术资格认定和专业技术水平测试；</w:t>
            </w:r>
          </w:p>
          <w:p>
            <w:pPr>
              <w:pStyle w:val="12"/>
            </w:pPr>
            <w:r>
              <w:t>2、推动我国信息产业特别是软件产业的发展和提高各类IT人才的素质的筛选。</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服务考生人数</w:t>
            </w:r>
          </w:p>
        </w:tc>
        <w:tc>
          <w:tcPr>
            <w:tcW w:w="3430" w:type="dxa"/>
            <w:vAlign w:val="center"/>
          </w:tcPr>
          <w:p>
            <w:pPr>
              <w:pStyle w:val="12"/>
            </w:pPr>
            <w:r>
              <w:t>服务考生人数</w:t>
            </w:r>
          </w:p>
        </w:tc>
        <w:tc>
          <w:tcPr>
            <w:tcW w:w="2551" w:type="dxa"/>
            <w:vAlign w:val="center"/>
          </w:tcPr>
          <w:p>
            <w:pPr>
              <w:pStyle w:val="12"/>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上缴报名费准确率</w:t>
            </w:r>
          </w:p>
        </w:tc>
        <w:tc>
          <w:tcPr>
            <w:tcW w:w="3430" w:type="dxa"/>
            <w:vAlign w:val="center"/>
          </w:tcPr>
          <w:p>
            <w:pPr>
              <w:pStyle w:val="12"/>
            </w:pPr>
            <w:r>
              <w:t>上缴报名费准确率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考试完成及时率</w:t>
            </w:r>
          </w:p>
        </w:tc>
        <w:tc>
          <w:tcPr>
            <w:tcW w:w="3430" w:type="dxa"/>
            <w:vAlign w:val="center"/>
          </w:tcPr>
          <w:p>
            <w:pPr>
              <w:pStyle w:val="12"/>
            </w:pPr>
            <w:r>
              <w:t xml:space="preserve"> 考试完成及时率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上缴报名费及时率</w:t>
            </w:r>
          </w:p>
        </w:tc>
        <w:tc>
          <w:tcPr>
            <w:tcW w:w="3430" w:type="dxa"/>
            <w:vAlign w:val="center"/>
          </w:tcPr>
          <w:p>
            <w:pPr>
              <w:pStyle w:val="12"/>
            </w:pPr>
            <w:r>
              <w:t>上缴报名费及时率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项目资金使用金额</w:t>
            </w:r>
          </w:p>
        </w:tc>
        <w:tc>
          <w:tcPr>
            <w:tcW w:w="3430" w:type="dxa"/>
            <w:vAlign w:val="center"/>
          </w:tcPr>
          <w:p>
            <w:pPr>
              <w:pStyle w:val="12"/>
            </w:pPr>
            <w:r>
              <w:t xml:space="preserve"> 项目资金使用金额</w:t>
            </w:r>
          </w:p>
        </w:tc>
        <w:tc>
          <w:tcPr>
            <w:tcW w:w="2551" w:type="dxa"/>
            <w:vAlign w:val="center"/>
          </w:tcPr>
          <w:p>
            <w:pPr>
              <w:pStyle w:val="12"/>
            </w:pPr>
            <w:r>
              <w:t>≤122万元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考试公平公正</w:t>
            </w:r>
          </w:p>
        </w:tc>
        <w:tc>
          <w:tcPr>
            <w:tcW w:w="3430" w:type="dxa"/>
            <w:vAlign w:val="center"/>
          </w:tcPr>
          <w:p>
            <w:pPr>
              <w:pStyle w:val="12"/>
            </w:pPr>
            <w:r>
              <w:t>考试公平公正</w:t>
            </w:r>
          </w:p>
        </w:tc>
        <w:tc>
          <w:tcPr>
            <w:tcW w:w="2551" w:type="dxa"/>
            <w:vAlign w:val="center"/>
          </w:tcPr>
          <w:p>
            <w:pPr>
              <w:pStyle w:val="12"/>
            </w:pPr>
            <w:r>
              <w:t>通过精心组织、使用专业设备，无考试事故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考生满意度</w:t>
            </w:r>
          </w:p>
        </w:tc>
        <w:tc>
          <w:tcPr>
            <w:tcW w:w="3430" w:type="dxa"/>
            <w:vAlign w:val="center"/>
          </w:tcPr>
          <w:p>
            <w:pPr>
              <w:pStyle w:val="12"/>
            </w:pPr>
            <w:r>
              <w:t xml:space="preserve"> 考生满意度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6.节能减排补助资金——中央绩效目标表</w:t>
      </w:r>
      <w:bookmarkEnd w:id="5"/>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6998.00</w:t>
            </w:r>
          </w:p>
        </w:tc>
        <w:tc>
          <w:tcPr>
            <w:tcW w:w="1587" w:type="dxa"/>
            <w:vAlign w:val="center"/>
          </w:tcPr>
          <w:p>
            <w:pPr>
              <w:pStyle w:val="13"/>
            </w:pPr>
            <w:r>
              <w:t>其中：财政    资金</w:t>
            </w:r>
          </w:p>
        </w:tc>
        <w:tc>
          <w:tcPr>
            <w:tcW w:w="1843" w:type="dxa"/>
            <w:vAlign w:val="center"/>
          </w:tcPr>
          <w:p>
            <w:pPr>
              <w:pStyle w:val="12"/>
            </w:pPr>
            <w:r>
              <w:t>6998.00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拨付新能源汽车推广补贴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1.支持符合补贴政策要求的新能源汽车产品推广应用，进一步扩大新能源汽车产品消费；</w:t>
            </w:r>
          </w:p>
          <w:p>
            <w:pPr>
              <w:pStyle w:val="12"/>
            </w:pPr>
            <w:r>
              <w:t>2.对符合条件的城市开展燃料电池汽车关键核心技术产业化攻关和示范应用给予奖励，形成布局合理、各有侧重、协同推进的燃料电池汽车发展新模式。</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燃料电池汽车示范城市群到第二年度累计取得技术 突破并产业化的基础材料、关键零部件的项数</w:t>
            </w:r>
          </w:p>
        </w:tc>
        <w:tc>
          <w:tcPr>
            <w:tcW w:w="3430" w:type="dxa"/>
            <w:vAlign w:val="center"/>
          </w:tcPr>
          <w:p>
            <w:pPr>
              <w:pStyle w:val="12"/>
            </w:pPr>
            <w:r>
              <w:t>燃料电池汽车示范城市群到第二年度累计取得技术 突破并产业化的基础材料、关键零部件的项数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有运营里程要求的车辆满足要求比例</w:t>
            </w:r>
          </w:p>
        </w:tc>
        <w:tc>
          <w:tcPr>
            <w:tcW w:w="3430" w:type="dxa"/>
            <w:vAlign w:val="center"/>
          </w:tcPr>
          <w:p>
            <w:pPr>
              <w:pStyle w:val="12"/>
            </w:pPr>
            <w:r>
              <w:t>有运营里程要求的车辆满足要求比例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车辆纳入新能源汽车国家监管平台比例</w:t>
            </w:r>
          </w:p>
        </w:tc>
        <w:tc>
          <w:tcPr>
            <w:tcW w:w="3430" w:type="dxa"/>
            <w:vAlign w:val="center"/>
          </w:tcPr>
          <w:p>
            <w:pPr>
              <w:pStyle w:val="12"/>
            </w:pPr>
            <w:r>
              <w:t>车辆纳入新能源汽车国家监管平台比例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车辆技术参数与新能源汽车推广应用推荐车型目录 参数一致性</w:t>
            </w:r>
          </w:p>
        </w:tc>
        <w:tc>
          <w:tcPr>
            <w:tcW w:w="3430" w:type="dxa"/>
            <w:vAlign w:val="center"/>
          </w:tcPr>
          <w:p>
            <w:pPr>
              <w:pStyle w:val="12"/>
            </w:pPr>
            <w:r>
              <w:t>车辆技术参数与新能源汽车推广应用推荐车型目录 参数一致性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燃料电池汽车示范车辆符合《关于开展燃料电池汽 车示范应用的通知》(财建〔2020〕394号)技术要求的比例</w:t>
            </w:r>
          </w:p>
        </w:tc>
        <w:tc>
          <w:tcPr>
            <w:tcW w:w="3430" w:type="dxa"/>
            <w:vAlign w:val="center"/>
          </w:tcPr>
          <w:p>
            <w:pPr>
              <w:pStyle w:val="12"/>
            </w:pPr>
            <w:r>
              <w:t>燃料电池汽车示范车辆符合《关于开展燃料电池汽 车示范应用的通知》(财建〔2020〕394号)技术要求的比例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氢能及燃料电池汽车政策制度环境</w:t>
            </w:r>
          </w:p>
        </w:tc>
        <w:tc>
          <w:tcPr>
            <w:tcW w:w="3430" w:type="dxa"/>
            <w:vAlign w:val="center"/>
          </w:tcPr>
          <w:p>
            <w:pPr>
              <w:pStyle w:val="12"/>
            </w:pPr>
            <w:r>
              <w:t>氢能及燃料电池汽车政策制度环境</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补贴资金发放及时率</w:t>
            </w:r>
          </w:p>
        </w:tc>
        <w:tc>
          <w:tcPr>
            <w:tcW w:w="3430" w:type="dxa"/>
            <w:vAlign w:val="center"/>
          </w:tcPr>
          <w:p>
            <w:pPr>
              <w:pStyle w:val="12"/>
            </w:pPr>
            <w:r>
              <w:t>补贴资金发放及时率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总体预算投入</w:t>
            </w:r>
          </w:p>
        </w:tc>
        <w:tc>
          <w:tcPr>
            <w:tcW w:w="3430" w:type="dxa"/>
            <w:vAlign w:val="center"/>
          </w:tcPr>
          <w:p>
            <w:pPr>
              <w:pStyle w:val="12"/>
            </w:pPr>
            <w:r>
              <w:t>总体预算投入</w:t>
            </w:r>
          </w:p>
        </w:tc>
        <w:tc>
          <w:tcPr>
            <w:tcW w:w="2551" w:type="dxa"/>
            <w:vAlign w:val="center"/>
          </w:tcPr>
          <w:p>
            <w:pPr>
              <w:pStyle w:val="12"/>
            </w:pPr>
            <w:r>
              <w:t>≤6998万元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新能源汽车产业发展</w:t>
            </w:r>
          </w:p>
        </w:tc>
        <w:tc>
          <w:tcPr>
            <w:tcW w:w="3430" w:type="dxa"/>
            <w:vAlign w:val="center"/>
          </w:tcPr>
          <w:p>
            <w:pPr>
              <w:pStyle w:val="12"/>
            </w:pPr>
            <w:r>
              <w:t>新能源汽车产业发展</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3430" w:type="dxa"/>
            <w:vAlign w:val="center"/>
          </w:tcPr>
          <w:p>
            <w:pPr>
              <w:pStyle w:val="12"/>
            </w:pPr>
            <w:r>
              <w:t>社会认可度</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节能减排效果</w:t>
            </w:r>
          </w:p>
        </w:tc>
        <w:tc>
          <w:tcPr>
            <w:tcW w:w="3430" w:type="dxa"/>
            <w:vAlign w:val="center"/>
          </w:tcPr>
          <w:p>
            <w:pPr>
              <w:pStyle w:val="12"/>
            </w:pPr>
            <w:r>
              <w:t>节能减排效果</w:t>
            </w:r>
          </w:p>
        </w:tc>
        <w:tc>
          <w:tcPr>
            <w:tcW w:w="2551" w:type="dxa"/>
            <w:vAlign w:val="center"/>
          </w:tcPr>
          <w:p>
            <w:pPr>
              <w:pStyle w:val="1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受益企业、群众满意度</w:t>
            </w:r>
          </w:p>
        </w:tc>
        <w:tc>
          <w:tcPr>
            <w:tcW w:w="3430" w:type="dxa"/>
            <w:vAlign w:val="center"/>
          </w:tcPr>
          <w:p>
            <w:pPr>
              <w:pStyle w:val="12"/>
            </w:pPr>
            <w:r>
              <w:t>受益企业、群众满意度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7.京津冀产业链供应链大会项目绩效目标表</w:t>
      </w:r>
      <w:bookmarkEnd w:id="6"/>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京津冀产业链供应链大会项目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353.00</w:t>
            </w:r>
          </w:p>
        </w:tc>
        <w:tc>
          <w:tcPr>
            <w:tcW w:w="1587" w:type="dxa"/>
            <w:vAlign w:val="center"/>
          </w:tcPr>
          <w:p>
            <w:pPr>
              <w:pStyle w:val="13"/>
            </w:pPr>
            <w:r>
              <w:t>其中：财政    资金</w:t>
            </w:r>
          </w:p>
        </w:tc>
        <w:tc>
          <w:tcPr>
            <w:tcW w:w="1843" w:type="dxa"/>
            <w:vAlign w:val="center"/>
          </w:tcPr>
          <w:p>
            <w:pPr>
              <w:pStyle w:val="12"/>
            </w:pPr>
            <w:r>
              <w:t>353.00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拨付京津冀产业链供应链大会项目资金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1.通过举办开幕式、产业链对接活动等系列活动，推动京津冀产业链供应链融合发展，提升京津冀产业链配套水平，构筑京津冀面向全球招商推介与资源聚合平台。</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举办产业链供应链大会</w:t>
            </w:r>
          </w:p>
        </w:tc>
        <w:tc>
          <w:tcPr>
            <w:tcW w:w="3430" w:type="dxa"/>
            <w:vAlign w:val="center"/>
          </w:tcPr>
          <w:p>
            <w:pPr>
              <w:pStyle w:val="12"/>
            </w:pPr>
            <w:r>
              <w:t>举办产业链供应链大会</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举办主题推介活动</w:t>
            </w:r>
          </w:p>
        </w:tc>
        <w:tc>
          <w:tcPr>
            <w:tcW w:w="3430" w:type="dxa"/>
            <w:vAlign w:val="center"/>
          </w:tcPr>
          <w:p>
            <w:pPr>
              <w:pStyle w:val="12"/>
            </w:pPr>
            <w:r>
              <w:t>举办主题推介活动</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开幕式活动</w:t>
            </w:r>
          </w:p>
        </w:tc>
        <w:tc>
          <w:tcPr>
            <w:tcW w:w="3430" w:type="dxa"/>
            <w:vAlign w:val="center"/>
          </w:tcPr>
          <w:p>
            <w:pPr>
              <w:pStyle w:val="12"/>
            </w:pPr>
            <w:r>
              <w:t>开幕式活动</w:t>
            </w:r>
          </w:p>
        </w:tc>
        <w:tc>
          <w:tcPr>
            <w:tcW w:w="2551" w:type="dxa"/>
            <w:vAlign w:val="center"/>
          </w:tcPr>
          <w:p>
            <w:pPr>
              <w:pStyle w:val="12"/>
            </w:pPr>
            <w:r>
              <w:t>≤120.68万元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产业链对接活动</w:t>
            </w:r>
          </w:p>
        </w:tc>
        <w:tc>
          <w:tcPr>
            <w:tcW w:w="3430" w:type="dxa"/>
            <w:vAlign w:val="center"/>
          </w:tcPr>
          <w:p>
            <w:pPr>
              <w:pStyle w:val="12"/>
            </w:pPr>
            <w:r>
              <w:t>产业链对接活动</w:t>
            </w:r>
          </w:p>
        </w:tc>
        <w:tc>
          <w:tcPr>
            <w:tcW w:w="2551" w:type="dxa"/>
            <w:vAlign w:val="center"/>
          </w:tcPr>
          <w:p>
            <w:pPr>
              <w:pStyle w:val="12"/>
            </w:pPr>
            <w:r>
              <w:t>≤53.05万元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场馆租赁费</w:t>
            </w:r>
          </w:p>
        </w:tc>
        <w:tc>
          <w:tcPr>
            <w:tcW w:w="3430" w:type="dxa"/>
            <w:vAlign w:val="center"/>
          </w:tcPr>
          <w:p>
            <w:pPr>
              <w:pStyle w:val="12"/>
            </w:pPr>
            <w:r>
              <w:t>场馆租赁费</w:t>
            </w:r>
          </w:p>
        </w:tc>
        <w:tc>
          <w:tcPr>
            <w:tcW w:w="2551" w:type="dxa"/>
            <w:vAlign w:val="center"/>
          </w:tcPr>
          <w:p>
            <w:pPr>
              <w:pStyle w:val="12"/>
            </w:pPr>
            <w:r>
              <w:t>≤62.33万元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会务保障费用</w:t>
            </w:r>
          </w:p>
        </w:tc>
        <w:tc>
          <w:tcPr>
            <w:tcW w:w="3430" w:type="dxa"/>
            <w:vAlign w:val="center"/>
          </w:tcPr>
          <w:p>
            <w:pPr>
              <w:pStyle w:val="12"/>
            </w:pPr>
            <w:r>
              <w:t>会务保障费用</w:t>
            </w:r>
          </w:p>
        </w:tc>
        <w:tc>
          <w:tcPr>
            <w:tcW w:w="2551" w:type="dxa"/>
            <w:vAlign w:val="center"/>
          </w:tcPr>
          <w:p>
            <w:pPr>
              <w:pStyle w:val="12"/>
            </w:pPr>
            <w:r>
              <w:t>≤78.01万元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宣传推广活动</w:t>
            </w:r>
          </w:p>
        </w:tc>
        <w:tc>
          <w:tcPr>
            <w:tcW w:w="3430" w:type="dxa"/>
            <w:vAlign w:val="center"/>
          </w:tcPr>
          <w:p>
            <w:pPr>
              <w:pStyle w:val="12"/>
            </w:pPr>
            <w:r>
              <w:t>宣传推广活动</w:t>
            </w:r>
          </w:p>
        </w:tc>
        <w:tc>
          <w:tcPr>
            <w:tcW w:w="2551" w:type="dxa"/>
            <w:vAlign w:val="center"/>
          </w:tcPr>
          <w:p>
            <w:pPr>
              <w:pStyle w:val="12"/>
            </w:pPr>
            <w:r>
              <w:t>≤15.9万元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安保医疗等费用</w:t>
            </w:r>
          </w:p>
        </w:tc>
        <w:tc>
          <w:tcPr>
            <w:tcW w:w="3430" w:type="dxa"/>
            <w:vAlign w:val="center"/>
          </w:tcPr>
          <w:p>
            <w:pPr>
              <w:pStyle w:val="12"/>
            </w:pPr>
            <w:r>
              <w:t>安保医疗等费用</w:t>
            </w:r>
          </w:p>
        </w:tc>
        <w:tc>
          <w:tcPr>
            <w:tcW w:w="2551" w:type="dxa"/>
            <w:vAlign w:val="center"/>
          </w:tcPr>
          <w:p>
            <w:pPr>
              <w:pStyle w:val="12"/>
            </w:pPr>
            <w:r>
              <w:t>≤23.03万元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合作成果</w:t>
            </w:r>
          </w:p>
        </w:tc>
        <w:tc>
          <w:tcPr>
            <w:tcW w:w="3430" w:type="dxa"/>
            <w:vAlign w:val="center"/>
          </w:tcPr>
          <w:p>
            <w:pPr>
              <w:pStyle w:val="12"/>
            </w:pPr>
            <w:r>
              <w:t>合作成果</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京津冀重点产业链生态圈</w:t>
            </w:r>
          </w:p>
        </w:tc>
        <w:tc>
          <w:tcPr>
            <w:tcW w:w="3430" w:type="dxa"/>
            <w:vAlign w:val="center"/>
          </w:tcPr>
          <w:p>
            <w:pPr>
              <w:pStyle w:val="12"/>
            </w:pPr>
            <w:r>
              <w:t>京津冀重点产业链生态圈</w:t>
            </w:r>
          </w:p>
        </w:tc>
        <w:tc>
          <w:tcPr>
            <w:tcW w:w="2551" w:type="dxa"/>
            <w:vAlign w:val="center"/>
          </w:tcPr>
          <w:p>
            <w:pPr>
              <w:pStyle w:val="12"/>
            </w:pPr>
            <w:r>
              <w:t>壮大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平台效应</w:t>
            </w:r>
          </w:p>
        </w:tc>
        <w:tc>
          <w:tcPr>
            <w:tcW w:w="3430" w:type="dxa"/>
            <w:vAlign w:val="center"/>
          </w:tcPr>
          <w:p>
            <w:pPr>
              <w:pStyle w:val="12"/>
            </w:pPr>
            <w:r>
              <w:t>平台效应</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3"/>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.频率台站系统（行政许可相关功能）升级改造等级保护测评服务项目—中央绩效目标表</w:t>
      </w:r>
      <w:bookmarkEnd w:id="7"/>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频率台站系统（行政许可相关功能）升级改造等级保护测评服务项目—中央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w:t>
            </w:r>
          </w:p>
        </w:tc>
        <w:tc>
          <w:tcPr>
            <w:tcW w:w="1587" w:type="dxa"/>
            <w:vAlign w:val="center"/>
          </w:tcPr>
          <w:p>
            <w:pPr>
              <w:pStyle w:val="13"/>
            </w:pPr>
            <w:r>
              <w:t>其中：财政    资金</w:t>
            </w:r>
          </w:p>
        </w:tc>
        <w:tc>
          <w:tcPr>
            <w:tcW w:w="1843" w:type="dxa"/>
            <w:vAlign w:val="center"/>
          </w:tcPr>
          <w:p>
            <w:pPr>
              <w:pStyle w:val="12"/>
            </w:pPr>
            <w:r>
              <w:t>9.50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拨付等保测评相关费用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1.通过本次项目，完成对天津市天津市频率台站系统信息安全等级保护测评工作，堵塞网络漏洞，完善信息系统安全技术防护措施、安全管理制度和安全运维体系，进一步提高自身信息系统安全保护能力。</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天津市频率台站系统（行政许可相关功能）升级改造等级保护测评产出数量</w:t>
            </w:r>
          </w:p>
        </w:tc>
        <w:tc>
          <w:tcPr>
            <w:tcW w:w="3430" w:type="dxa"/>
            <w:vAlign w:val="center"/>
          </w:tcPr>
          <w:p>
            <w:pPr>
              <w:pStyle w:val="12"/>
            </w:pPr>
            <w:r>
              <w:t>天津市频率台站系统（行政许可相关功能）升级改造等级保护测评产出数量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系统等级保护测评完成率</w:t>
            </w:r>
          </w:p>
        </w:tc>
        <w:tc>
          <w:tcPr>
            <w:tcW w:w="3430" w:type="dxa"/>
            <w:vAlign w:val="center"/>
          </w:tcPr>
          <w:p>
            <w:pPr>
              <w:pStyle w:val="12"/>
            </w:pPr>
            <w:r>
              <w:t>系统等级保护测评完成率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拨付及时性</w:t>
            </w:r>
          </w:p>
        </w:tc>
        <w:tc>
          <w:tcPr>
            <w:tcW w:w="3430" w:type="dxa"/>
            <w:vAlign w:val="center"/>
          </w:tcPr>
          <w:p>
            <w:pPr>
              <w:pStyle w:val="12"/>
            </w:pPr>
            <w:r>
              <w:t>拨付及时性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项目资金不超预算值 </w:t>
            </w:r>
          </w:p>
        </w:tc>
        <w:tc>
          <w:tcPr>
            <w:tcW w:w="3430" w:type="dxa"/>
            <w:vAlign w:val="center"/>
          </w:tcPr>
          <w:p>
            <w:pPr>
              <w:pStyle w:val="12"/>
            </w:pPr>
            <w:r>
              <w:t xml:space="preserve">项目资金不超预算值 </w:t>
            </w:r>
          </w:p>
        </w:tc>
        <w:tc>
          <w:tcPr>
            <w:tcW w:w="2551" w:type="dxa"/>
            <w:vAlign w:val="center"/>
          </w:tcPr>
          <w:p>
            <w:pPr>
              <w:pStyle w:val="12"/>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提高信息系统安全保护能力</w:t>
            </w:r>
          </w:p>
        </w:tc>
        <w:tc>
          <w:tcPr>
            <w:tcW w:w="3430" w:type="dxa"/>
            <w:vAlign w:val="center"/>
          </w:tcPr>
          <w:p>
            <w:pPr>
              <w:pStyle w:val="12"/>
            </w:pPr>
            <w:r>
              <w:t>提高信息系统安全保护能力</w:t>
            </w:r>
          </w:p>
        </w:tc>
        <w:tc>
          <w:tcPr>
            <w:tcW w:w="2551" w:type="dxa"/>
            <w:vAlign w:val="center"/>
          </w:tcPr>
          <w:p>
            <w:pPr>
              <w:pStyle w:val="12"/>
            </w:pPr>
            <w:r>
              <w:t>信息系统安全性得到有效提高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提高信息系统安全保护能力</w:t>
            </w:r>
          </w:p>
        </w:tc>
        <w:tc>
          <w:tcPr>
            <w:tcW w:w="3430" w:type="dxa"/>
            <w:vAlign w:val="center"/>
          </w:tcPr>
          <w:p>
            <w:pPr>
              <w:pStyle w:val="12"/>
            </w:pPr>
            <w:r>
              <w:t>提高信息系统安全保护能力</w:t>
            </w:r>
          </w:p>
        </w:tc>
        <w:tc>
          <w:tcPr>
            <w:tcW w:w="2551" w:type="dxa"/>
            <w:vAlign w:val="center"/>
          </w:tcPr>
          <w:p>
            <w:pPr>
              <w:pStyle w:val="12"/>
            </w:pPr>
            <w:r>
              <w:t>信息系统安全性得到有效提高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服务对象满意度 </w:t>
            </w:r>
          </w:p>
        </w:tc>
        <w:tc>
          <w:tcPr>
            <w:tcW w:w="3430" w:type="dxa"/>
            <w:vAlign w:val="center"/>
          </w:tcPr>
          <w:p>
            <w:pPr>
              <w:pStyle w:val="12"/>
            </w:pPr>
            <w:r>
              <w:t xml:space="preserve">服务对象满意度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4"/>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.市公共卫生应急物资储备库项目绩效目标表</w:t>
      </w:r>
      <w:bookmarkEnd w:id="8"/>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市公共卫生应急物资储备库项目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225.00</w:t>
            </w:r>
          </w:p>
        </w:tc>
        <w:tc>
          <w:tcPr>
            <w:tcW w:w="1587" w:type="dxa"/>
            <w:vAlign w:val="center"/>
          </w:tcPr>
          <w:p>
            <w:pPr>
              <w:pStyle w:val="13"/>
            </w:pPr>
            <w:r>
              <w:t>其中：财政    资金</w:t>
            </w:r>
          </w:p>
        </w:tc>
        <w:tc>
          <w:tcPr>
            <w:tcW w:w="1843" w:type="dxa"/>
            <w:vAlign w:val="center"/>
          </w:tcPr>
          <w:p>
            <w:pPr>
              <w:pStyle w:val="12"/>
            </w:pPr>
            <w:r>
              <w:t>225.00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拨付市级物资储备库运行资金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1.通过租用市级物资储备仓库，保障市级物资储备库正常运行。</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租用仓库面积</w:t>
            </w:r>
          </w:p>
        </w:tc>
        <w:tc>
          <w:tcPr>
            <w:tcW w:w="3430" w:type="dxa"/>
            <w:vAlign w:val="center"/>
          </w:tcPr>
          <w:p>
            <w:pPr>
              <w:pStyle w:val="12"/>
            </w:pPr>
            <w:r>
              <w:t>租用仓库面积</w:t>
            </w:r>
          </w:p>
        </w:tc>
        <w:tc>
          <w:tcPr>
            <w:tcW w:w="2551" w:type="dxa"/>
            <w:vAlign w:val="center"/>
          </w:tcPr>
          <w:p>
            <w:pPr>
              <w:pStyle w:val="12"/>
            </w:pPr>
            <w:r>
              <w:t>≤4500平方米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全年仓库稳定运行率</w:t>
            </w:r>
          </w:p>
        </w:tc>
        <w:tc>
          <w:tcPr>
            <w:tcW w:w="3430" w:type="dxa"/>
            <w:vAlign w:val="center"/>
          </w:tcPr>
          <w:p>
            <w:pPr>
              <w:pStyle w:val="12"/>
            </w:pPr>
            <w:r>
              <w:t>全年仓库稳定运行率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工作任务按时完成率</w:t>
            </w:r>
          </w:p>
        </w:tc>
        <w:tc>
          <w:tcPr>
            <w:tcW w:w="3430" w:type="dxa"/>
            <w:vAlign w:val="center"/>
          </w:tcPr>
          <w:p>
            <w:pPr>
              <w:pStyle w:val="12"/>
            </w:pPr>
            <w:r>
              <w:t>工作任务按时完成率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使用财政资金</w:t>
            </w:r>
          </w:p>
        </w:tc>
        <w:tc>
          <w:tcPr>
            <w:tcW w:w="3430" w:type="dxa"/>
            <w:vAlign w:val="center"/>
          </w:tcPr>
          <w:p>
            <w:pPr>
              <w:pStyle w:val="12"/>
            </w:pPr>
            <w:r>
              <w:t>使用财政资金</w:t>
            </w:r>
          </w:p>
        </w:tc>
        <w:tc>
          <w:tcPr>
            <w:tcW w:w="2551" w:type="dxa"/>
            <w:vAlign w:val="center"/>
          </w:tcPr>
          <w:p>
            <w:pPr>
              <w:pStyle w:val="1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储备库运行情况</w:t>
            </w:r>
          </w:p>
        </w:tc>
        <w:tc>
          <w:tcPr>
            <w:tcW w:w="3430" w:type="dxa"/>
            <w:vAlign w:val="center"/>
          </w:tcPr>
          <w:p>
            <w:pPr>
              <w:pStyle w:val="12"/>
            </w:pPr>
            <w:r>
              <w:t>储备库运行情况</w:t>
            </w:r>
          </w:p>
        </w:tc>
        <w:tc>
          <w:tcPr>
            <w:tcW w:w="2551" w:type="dxa"/>
            <w:vAlign w:val="center"/>
          </w:tcPr>
          <w:p>
            <w:pPr>
              <w:pStyle w:val="12"/>
            </w:pPr>
            <w:r>
              <w:t>保障应急物资储备安全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使用方满意度</w:t>
            </w:r>
          </w:p>
        </w:tc>
        <w:tc>
          <w:tcPr>
            <w:tcW w:w="3430" w:type="dxa"/>
            <w:vAlign w:val="center"/>
          </w:tcPr>
          <w:p>
            <w:pPr>
              <w:pStyle w:val="12"/>
            </w:pPr>
            <w:r>
              <w:t>使用方满意度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.天津市新能源和智能网联汽车产业发展支撑项目绩效目标表</w:t>
      </w:r>
      <w:bookmarkEnd w:id="9"/>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天津市新能源和智能网联汽车产业发展支撑项目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用于天津市新能源和智能网联汽车产业发展支撑服务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1.按照国标（GB/T 32960）要求，实现对天津市50万台新能源车辆实施采集存储及数据治理，并形成天津市全年新能源汽车运行情况报告；</w:t>
            </w:r>
          </w:p>
          <w:p>
            <w:pPr>
              <w:pStyle w:val="12"/>
            </w:pPr>
            <w:r>
              <w:t>2.进一步完善天津汽车零部件供应链体系，对全市汽车零部件体系进行梳理分析；</w:t>
            </w:r>
          </w:p>
          <w:p>
            <w:pPr>
              <w:pStyle w:val="12"/>
            </w:pPr>
            <w:r>
              <w:t>3.通过调研分析，完成《天津市智能网联汽车条例》的制定及发布，并开展面向各部门、各区及各重点企业的宣贯工作。</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开展项目数量</w:t>
            </w:r>
          </w:p>
        </w:tc>
        <w:tc>
          <w:tcPr>
            <w:tcW w:w="3430" w:type="dxa"/>
            <w:vAlign w:val="center"/>
          </w:tcPr>
          <w:p>
            <w:pPr>
              <w:pStyle w:val="12"/>
            </w:pPr>
            <w:r>
              <w:t>开展项目数量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资金拨付合规性</w:t>
            </w:r>
          </w:p>
        </w:tc>
        <w:tc>
          <w:tcPr>
            <w:tcW w:w="3430" w:type="dxa"/>
            <w:vAlign w:val="center"/>
          </w:tcPr>
          <w:p>
            <w:pPr>
              <w:pStyle w:val="12"/>
            </w:pPr>
            <w:r>
              <w:t>资金拨付合规性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 xml:space="preserve"> 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使用财政资金</w:t>
            </w:r>
          </w:p>
        </w:tc>
        <w:tc>
          <w:tcPr>
            <w:tcW w:w="3430" w:type="dxa"/>
            <w:vAlign w:val="center"/>
          </w:tcPr>
          <w:p>
            <w:pPr>
              <w:pStyle w:val="12"/>
            </w:pPr>
            <w:r>
              <w:t>使用财政资金</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新能源和智能网联汽车</w:t>
            </w:r>
          </w:p>
          <w:p>
            <w:pPr>
              <w:pStyle w:val="12"/>
            </w:pPr>
            <w:r>
              <w:t>产业发展</w:t>
            </w:r>
          </w:p>
        </w:tc>
        <w:tc>
          <w:tcPr>
            <w:tcW w:w="3430" w:type="dxa"/>
            <w:vAlign w:val="center"/>
          </w:tcPr>
          <w:p>
            <w:pPr>
              <w:pStyle w:val="12"/>
            </w:pPr>
            <w:r>
              <w:t>新能源和智能网联汽车</w:t>
            </w:r>
          </w:p>
          <w:p>
            <w:pPr>
              <w:pStyle w:val="12"/>
            </w:pPr>
            <w:r>
              <w:t>产业发展</w:t>
            </w:r>
          </w:p>
        </w:tc>
        <w:tc>
          <w:tcPr>
            <w:tcW w:w="2551" w:type="dxa"/>
            <w:vAlign w:val="center"/>
          </w:tcPr>
          <w:p>
            <w:pPr>
              <w:pStyle w:val="12"/>
            </w:pPr>
            <w:r>
              <w:t>促进产业发展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新能源汽车推广应用</w:t>
            </w:r>
          </w:p>
        </w:tc>
        <w:tc>
          <w:tcPr>
            <w:tcW w:w="3430" w:type="dxa"/>
            <w:vAlign w:val="center"/>
          </w:tcPr>
          <w:p>
            <w:pPr>
              <w:pStyle w:val="12"/>
            </w:pPr>
            <w:r>
              <w:t>新能源汽车推广应用</w:t>
            </w:r>
          </w:p>
        </w:tc>
        <w:tc>
          <w:tcPr>
            <w:tcW w:w="2551" w:type="dxa"/>
            <w:vAlign w:val="center"/>
          </w:tcPr>
          <w:p>
            <w:pPr>
              <w:pStyle w:val="12"/>
            </w:pPr>
            <w:r>
              <w:t>促进推广应用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服务对象满意度 </w:t>
            </w:r>
          </w:p>
        </w:tc>
        <w:tc>
          <w:tcPr>
            <w:tcW w:w="3430" w:type="dxa"/>
            <w:vAlign w:val="center"/>
          </w:tcPr>
          <w:p>
            <w:pPr>
              <w:pStyle w:val="12"/>
            </w:pPr>
            <w:r>
              <w:t xml:space="preserve">服务对象满意度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.无线电管理技术设备运维—中央绩效目标表</w:t>
      </w:r>
      <w:bookmarkEnd w:id="1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无线电管理技术设备运维—中央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21.50</w:t>
            </w:r>
          </w:p>
        </w:tc>
        <w:tc>
          <w:tcPr>
            <w:tcW w:w="1587" w:type="dxa"/>
            <w:vAlign w:val="center"/>
          </w:tcPr>
          <w:p>
            <w:pPr>
              <w:pStyle w:val="13"/>
            </w:pPr>
            <w:r>
              <w:t>其中：财政    资金</w:t>
            </w:r>
          </w:p>
        </w:tc>
        <w:tc>
          <w:tcPr>
            <w:tcW w:w="1843" w:type="dxa"/>
            <w:vAlign w:val="center"/>
          </w:tcPr>
          <w:p>
            <w:pPr>
              <w:pStyle w:val="12"/>
            </w:pPr>
            <w:r>
              <w:t>21.50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用于无线电管理技术设备运维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 通过日常维护执法系统技术设备，及时处理线路和车辆故障，保障无线电执法管理系统和执法车辆的正常运行。</w:t>
            </w:r>
            <w:r>
              <w:tab/>
            </w:r>
            <w:r>
              <w:tab/>
            </w:r>
            <w:r>
              <w:tab/>
            </w:r>
            <w:r>
              <w:tab/>
            </w:r>
            <w:r>
              <w:tab/>
            </w:r>
            <w:r>
              <w:tab/>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系统巡检次数</w:t>
            </w:r>
          </w:p>
        </w:tc>
        <w:tc>
          <w:tcPr>
            <w:tcW w:w="3430" w:type="dxa"/>
            <w:vAlign w:val="center"/>
          </w:tcPr>
          <w:p>
            <w:pPr>
              <w:pStyle w:val="12"/>
            </w:pPr>
            <w:r>
              <w:t>系统巡检次数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成功协调或解决系统故障率</w:t>
            </w:r>
          </w:p>
        </w:tc>
        <w:tc>
          <w:tcPr>
            <w:tcW w:w="3430" w:type="dxa"/>
            <w:vAlign w:val="center"/>
          </w:tcPr>
          <w:p>
            <w:pPr>
              <w:pStyle w:val="12"/>
            </w:pPr>
            <w:r>
              <w:t>成功协调或解决系统故障率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响应故障跟进时效性 </w:t>
            </w:r>
          </w:p>
        </w:tc>
        <w:tc>
          <w:tcPr>
            <w:tcW w:w="3430" w:type="dxa"/>
            <w:vAlign w:val="center"/>
          </w:tcPr>
          <w:p>
            <w:pPr>
              <w:pStyle w:val="12"/>
            </w:pPr>
            <w:r>
              <w:t xml:space="preserve">响应故障跟进时效性 </w:t>
            </w:r>
          </w:p>
        </w:tc>
        <w:tc>
          <w:tcPr>
            <w:tcW w:w="2551" w:type="dxa"/>
            <w:vAlign w:val="center"/>
          </w:tcPr>
          <w:p>
            <w:pPr>
              <w:pStyle w:val="1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无线电管理技术设备运维费用</w:t>
            </w:r>
          </w:p>
        </w:tc>
        <w:tc>
          <w:tcPr>
            <w:tcW w:w="3430" w:type="dxa"/>
            <w:vAlign w:val="center"/>
          </w:tcPr>
          <w:p>
            <w:pPr>
              <w:pStyle w:val="12"/>
            </w:pPr>
            <w:r>
              <w:t>无线电管理技术设备运维费用</w:t>
            </w:r>
          </w:p>
        </w:tc>
        <w:tc>
          <w:tcPr>
            <w:tcW w:w="2551" w:type="dxa"/>
            <w:vAlign w:val="center"/>
          </w:tcPr>
          <w:p>
            <w:pPr>
              <w:pStyle w:val="12"/>
            </w:pPr>
            <w:r>
              <w:t>≤21.5万元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提高无线电行政执法效率</w:t>
            </w:r>
          </w:p>
        </w:tc>
        <w:tc>
          <w:tcPr>
            <w:tcW w:w="3430" w:type="dxa"/>
            <w:vAlign w:val="center"/>
          </w:tcPr>
          <w:p>
            <w:pPr>
              <w:pStyle w:val="12"/>
            </w:pPr>
            <w:r>
              <w:t>提高无线电行政执法效率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系统使用人员满意度 </w:t>
            </w:r>
          </w:p>
        </w:tc>
        <w:tc>
          <w:tcPr>
            <w:tcW w:w="3430" w:type="dxa"/>
            <w:vAlign w:val="center"/>
          </w:tcPr>
          <w:p>
            <w:pPr>
              <w:pStyle w:val="12"/>
            </w:pPr>
            <w:r>
              <w:t xml:space="preserve">系统使用人员满意度 </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.无线电管理专项监管—中央绩效目标表</w:t>
      </w:r>
      <w:bookmarkEnd w:id="1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176.00</w:t>
            </w:r>
          </w:p>
        </w:tc>
        <w:tc>
          <w:tcPr>
            <w:tcW w:w="1587" w:type="dxa"/>
            <w:vAlign w:val="center"/>
          </w:tcPr>
          <w:p>
            <w:pPr>
              <w:pStyle w:val="13"/>
            </w:pPr>
            <w:r>
              <w:t>其中：财政    资金</w:t>
            </w:r>
          </w:p>
        </w:tc>
        <w:tc>
          <w:tcPr>
            <w:tcW w:w="1843" w:type="dxa"/>
            <w:vAlign w:val="center"/>
          </w:tcPr>
          <w:p>
            <w:pPr>
              <w:pStyle w:val="12"/>
            </w:pPr>
            <w:r>
              <w:t>176.00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支付无线电监管资金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1.通过开展无线电管理专项监管工作，维护重点无线电台站、电磁环境秩序，推动无线电管理规范化、精细化发展。</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开展考试无线电保障次数</w:t>
            </w:r>
          </w:p>
        </w:tc>
        <w:tc>
          <w:tcPr>
            <w:tcW w:w="3430" w:type="dxa"/>
            <w:vAlign w:val="center"/>
          </w:tcPr>
          <w:p>
            <w:pPr>
              <w:pStyle w:val="12"/>
            </w:pPr>
            <w:r>
              <w:t>开展考试无线电保障次数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干扰投诉处理率</w:t>
            </w:r>
          </w:p>
        </w:tc>
        <w:tc>
          <w:tcPr>
            <w:tcW w:w="3430" w:type="dxa"/>
            <w:vAlign w:val="center"/>
          </w:tcPr>
          <w:p>
            <w:pPr>
              <w:pStyle w:val="12"/>
            </w:pPr>
            <w:r>
              <w:t>干扰投诉处理率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无线电管理专项监管工作完成及时率</w:t>
            </w:r>
          </w:p>
        </w:tc>
        <w:tc>
          <w:tcPr>
            <w:tcW w:w="3430" w:type="dxa"/>
            <w:vAlign w:val="center"/>
          </w:tcPr>
          <w:p>
            <w:pPr>
              <w:pStyle w:val="12"/>
            </w:pPr>
            <w:r>
              <w:t>无线电管理专项监管工作完成及时率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无线电管理专项监管费用</w:t>
            </w:r>
          </w:p>
        </w:tc>
        <w:tc>
          <w:tcPr>
            <w:tcW w:w="3430" w:type="dxa"/>
            <w:vAlign w:val="center"/>
          </w:tcPr>
          <w:p>
            <w:pPr>
              <w:pStyle w:val="12"/>
            </w:pPr>
            <w:r>
              <w:t>无线电管理专项监管费用</w:t>
            </w:r>
          </w:p>
        </w:tc>
        <w:tc>
          <w:tcPr>
            <w:tcW w:w="2551" w:type="dxa"/>
            <w:vAlign w:val="center"/>
          </w:tcPr>
          <w:p>
            <w:pPr>
              <w:pStyle w:val="12"/>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推动无线电管理规范化、精细化发展</w:t>
            </w:r>
          </w:p>
        </w:tc>
        <w:tc>
          <w:tcPr>
            <w:tcW w:w="3430" w:type="dxa"/>
            <w:vAlign w:val="center"/>
          </w:tcPr>
          <w:p>
            <w:pPr>
              <w:pStyle w:val="12"/>
            </w:pPr>
            <w:r>
              <w:t>推动无线电管理规范化、精细化发展</w:t>
            </w:r>
          </w:p>
        </w:tc>
        <w:tc>
          <w:tcPr>
            <w:tcW w:w="2551" w:type="dxa"/>
            <w:vAlign w:val="center"/>
          </w:tcPr>
          <w:p>
            <w:pPr>
              <w:pStyle w:val="1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无线电管理人员满意度</w:t>
            </w:r>
          </w:p>
        </w:tc>
        <w:tc>
          <w:tcPr>
            <w:tcW w:w="3430" w:type="dxa"/>
            <w:vAlign w:val="center"/>
          </w:tcPr>
          <w:p>
            <w:pPr>
              <w:pStyle w:val="12"/>
            </w:pPr>
            <w:r>
              <w:t>无线电管理人员满意度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.无线电频率审批相关支持项目—中央绩效目标表</w:t>
      </w:r>
      <w:bookmarkEnd w:id="12"/>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无线电频率审批相关支持项目—中央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w:t>
            </w:r>
          </w:p>
        </w:tc>
        <w:tc>
          <w:tcPr>
            <w:tcW w:w="1587" w:type="dxa"/>
            <w:vAlign w:val="center"/>
          </w:tcPr>
          <w:p>
            <w:pPr>
              <w:pStyle w:val="13"/>
            </w:pPr>
            <w:r>
              <w:t>其中：财政    资金</w:t>
            </w:r>
          </w:p>
        </w:tc>
        <w:tc>
          <w:tcPr>
            <w:tcW w:w="1843" w:type="dxa"/>
            <w:vAlign w:val="center"/>
          </w:tcPr>
          <w:p>
            <w:pPr>
              <w:pStyle w:val="12"/>
            </w:pPr>
            <w:r>
              <w:t>14.00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拨付无线电管理评审相关费用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1.频率协调、专家评审、频率审批相关技术服务等累计不少于12次；频率使用效率有效提高；行政相对人满意度大于95%。</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开展频率使用方案评价、频率复用评估、干扰分析报告、频率使用情况评估、专家评审等产出数量</w:t>
            </w:r>
          </w:p>
        </w:tc>
        <w:tc>
          <w:tcPr>
            <w:tcW w:w="3430" w:type="dxa"/>
            <w:vAlign w:val="center"/>
          </w:tcPr>
          <w:p>
            <w:pPr>
              <w:pStyle w:val="12"/>
            </w:pPr>
            <w:r>
              <w:t>开展频率使用方案评价、频率复用评估、干扰分析报告、频率使用情况评估、专家评审等产出数量</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频率协调、大型组网、重点频率复用所需频率复用评估、专家评审等覆盖率</w:t>
            </w:r>
          </w:p>
        </w:tc>
        <w:tc>
          <w:tcPr>
            <w:tcW w:w="3430" w:type="dxa"/>
            <w:vAlign w:val="center"/>
          </w:tcPr>
          <w:p>
            <w:pPr>
              <w:pStyle w:val="12"/>
            </w:pPr>
            <w:r>
              <w:t>频率协调、大型组网、重点频率复用所需频率复用评估、专家评审等覆盖率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3430" w:type="dxa"/>
            <w:vAlign w:val="center"/>
          </w:tcPr>
          <w:p>
            <w:pPr>
              <w:pStyle w:val="12"/>
            </w:pPr>
            <w:r>
              <w:t>各项任务完成及时率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不超于预算金额</w:t>
            </w:r>
          </w:p>
        </w:tc>
        <w:tc>
          <w:tcPr>
            <w:tcW w:w="3430" w:type="dxa"/>
            <w:vAlign w:val="center"/>
          </w:tcPr>
          <w:p>
            <w:pPr>
              <w:pStyle w:val="12"/>
            </w:pPr>
            <w:r>
              <w:t>不超于预算金额</w:t>
            </w:r>
          </w:p>
        </w:tc>
        <w:tc>
          <w:tcPr>
            <w:tcW w:w="2551" w:type="dxa"/>
            <w:vAlign w:val="center"/>
          </w:tcPr>
          <w:p>
            <w:pPr>
              <w:pStyle w:val="12"/>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提高频率使用效率</w:t>
            </w:r>
          </w:p>
        </w:tc>
        <w:tc>
          <w:tcPr>
            <w:tcW w:w="3430" w:type="dxa"/>
            <w:vAlign w:val="center"/>
          </w:tcPr>
          <w:p>
            <w:pPr>
              <w:pStyle w:val="12"/>
            </w:pPr>
            <w:r>
              <w:t>提高频率使用效率</w:t>
            </w:r>
          </w:p>
        </w:tc>
        <w:tc>
          <w:tcPr>
            <w:tcW w:w="2551" w:type="dxa"/>
            <w:vAlign w:val="center"/>
          </w:tcPr>
          <w:p>
            <w:pPr>
              <w:pStyle w:val="12"/>
            </w:pPr>
            <w:r>
              <w:t>有限的频率能够满足更多的需求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无线电频率使用许可数</w:t>
            </w:r>
          </w:p>
        </w:tc>
        <w:tc>
          <w:tcPr>
            <w:tcW w:w="3430" w:type="dxa"/>
            <w:vAlign w:val="center"/>
          </w:tcPr>
          <w:p>
            <w:pPr>
              <w:pStyle w:val="12"/>
            </w:pPr>
            <w:r>
              <w:t>无线电频率使用许可数</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无线电台（站）许可数</w:t>
            </w:r>
          </w:p>
        </w:tc>
        <w:tc>
          <w:tcPr>
            <w:tcW w:w="3430" w:type="dxa"/>
            <w:vAlign w:val="center"/>
          </w:tcPr>
          <w:p>
            <w:pPr>
              <w:pStyle w:val="12"/>
            </w:pPr>
            <w:r>
              <w:t>无线电台（站）许可数</w:t>
            </w:r>
          </w:p>
        </w:tc>
        <w:tc>
          <w:tcPr>
            <w:tcW w:w="2551" w:type="dxa"/>
            <w:vAlign w:val="center"/>
          </w:tcPr>
          <w:p>
            <w:pPr>
              <w:pStyle w:val="12"/>
            </w:pPr>
            <w:r>
              <w:t>≥1000个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重点用频单位满意度</w:t>
            </w:r>
          </w:p>
        </w:tc>
        <w:tc>
          <w:tcPr>
            <w:tcW w:w="3430" w:type="dxa"/>
            <w:vAlign w:val="center"/>
          </w:tcPr>
          <w:p>
            <w:pPr>
              <w:pStyle w:val="12"/>
            </w:pPr>
            <w:r>
              <w:t>重点用频单位满意度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重点设台单位满意度</w:t>
            </w:r>
          </w:p>
        </w:tc>
        <w:tc>
          <w:tcPr>
            <w:tcW w:w="3430" w:type="dxa"/>
            <w:vAlign w:val="center"/>
          </w:tcPr>
          <w:p>
            <w:pPr>
              <w:pStyle w:val="12"/>
            </w:pPr>
            <w:r>
              <w:t>重点设台单位满意度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.无线电专项监管-中央绩效目标表</w:t>
      </w:r>
      <w:bookmarkEnd w:id="13"/>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30.96</w:t>
            </w:r>
          </w:p>
        </w:tc>
        <w:tc>
          <w:tcPr>
            <w:tcW w:w="1587" w:type="dxa"/>
            <w:vAlign w:val="center"/>
          </w:tcPr>
          <w:p>
            <w:pPr>
              <w:pStyle w:val="13"/>
            </w:pPr>
            <w:r>
              <w:t>其中：财政    资金</w:t>
            </w:r>
          </w:p>
        </w:tc>
        <w:tc>
          <w:tcPr>
            <w:tcW w:w="1843" w:type="dxa"/>
            <w:vAlign w:val="center"/>
          </w:tcPr>
          <w:p>
            <w:pPr>
              <w:pStyle w:val="12"/>
            </w:pPr>
            <w:r>
              <w:t>30.96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拨付上年未完全执行的合同尾款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 通过开展无线电管理专项监管工作，维护重点无线电台站、电磁环境秩序，推动无线电管理规范化、精细化发展。</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无线电管理专项监管工作任务数</w:t>
            </w:r>
          </w:p>
        </w:tc>
        <w:tc>
          <w:tcPr>
            <w:tcW w:w="3430" w:type="dxa"/>
            <w:vAlign w:val="center"/>
          </w:tcPr>
          <w:p>
            <w:pPr>
              <w:pStyle w:val="12"/>
            </w:pPr>
            <w:r>
              <w:t>无线电管理专项监管工作任务数</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干扰投诉处理率 </w:t>
            </w:r>
          </w:p>
        </w:tc>
        <w:tc>
          <w:tcPr>
            <w:tcW w:w="3430" w:type="dxa"/>
            <w:vAlign w:val="center"/>
          </w:tcPr>
          <w:p>
            <w:pPr>
              <w:pStyle w:val="12"/>
            </w:pPr>
            <w:r>
              <w:t xml:space="preserve">干扰投诉处理率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“黑广播”投诉响应及时率</w:t>
            </w:r>
          </w:p>
        </w:tc>
        <w:tc>
          <w:tcPr>
            <w:tcW w:w="3430" w:type="dxa"/>
            <w:vAlign w:val="center"/>
          </w:tcPr>
          <w:p>
            <w:pPr>
              <w:pStyle w:val="12"/>
            </w:pPr>
            <w:r>
              <w:t>“黑广播”投诉响应及时率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无线电管理专项监管费用</w:t>
            </w:r>
          </w:p>
        </w:tc>
        <w:tc>
          <w:tcPr>
            <w:tcW w:w="3430" w:type="dxa"/>
            <w:vAlign w:val="center"/>
          </w:tcPr>
          <w:p>
            <w:pPr>
              <w:pStyle w:val="12"/>
            </w:pPr>
            <w:r>
              <w:t>无线电管理专项监管费用</w:t>
            </w:r>
          </w:p>
        </w:tc>
        <w:tc>
          <w:tcPr>
            <w:tcW w:w="2551" w:type="dxa"/>
            <w:vAlign w:val="center"/>
          </w:tcPr>
          <w:p>
            <w:pPr>
              <w:pStyle w:val="12"/>
            </w:pPr>
            <w:r>
              <w:t>≤30.96万元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推动无线电管理规范化、精细化发展</w:t>
            </w:r>
          </w:p>
        </w:tc>
        <w:tc>
          <w:tcPr>
            <w:tcW w:w="3430" w:type="dxa"/>
            <w:vAlign w:val="center"/>
          </w:tcPr>
          <w:p>
            <w:pPr>
              <w:pStyle w:val="12"/>
            </w:pPr>
            <w:r>
              <w:t>推动无线电管理规范化、精细化发展</w:t>
            </w:r>
          </w:p>
        </w:tc>
        <w:tc>
          <w:tcPr>
            <w:tcW w:w="2551" w:type="dxa"/>
            <w:vAlign w:val="center"/>
          </w:tcPr>
          <w:p>
            <w:pPr>
              <w:pStyle w:val="1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无线电管理人员满意度 </w:t>
            </w:r>
          </w:p>
        </w:tc>
        <w:tc>
          <w:tcPr>
            <w:tcW w:w="3430" w:type="dxa"/>
            <w:vAlign w:val="center"/>
          </w:tcPr>
          <w:p>
            <w:pPr>
              <w:pStyle w:val="12"/>
            </w:pPr>
            <w:r>
              <w:t xml:space="preserve">无线电管理人员满意度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20"/>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.新能源汽车推广应用补贴绩效目标表</w:t>
      </w:r>
      <w:bookmarkEnd w:id="14"/>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新能源汽车推广应用补贴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1800.00</w:t>
            </w:r>
          </w:p>
        </w:tc>
        <w:tc>
          <w:tcPr>
            <w:tcW w:w="1587" w:type="dxa"/>
            <w:vAlign w:val="center"/>
          </w:tcPr>
          <w:p>
            <w:pPr>
              <w:pStyle w:val="13"/>
            </w:pPr>
            <w:r>
              <w:t>其中：财政    资金</w:t>
            </w:r>
          </w:p>
        </w:tc>
        <w:tc>
          <w:tcPr>
            <w:tcW w:w="1843" w:type="dxa"/>
            <w:vAlign w:val="center"/>
          </w:tcPr>
          <w:p>
            <w:pPr>
              <w:pStyle w:val="12"/>
            </w:pPr>
            <w:r>
              <w:t>1800.00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新能源汽车推广应用补贴资金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1.完成2017年在津推广新能源汽车的资金补助，补贴汽车数量不低于5000辆，补贴金额不超过1800万元，降低新能源汽车购车成本，实现新能源汽车保有量增长。</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补贴汽车数量</w:t>
            </w:r>
          </w:p>
        </w:tc>
        <w:tc>
          <w:tcPr>
            <w:tcW w:w="3430" w:type="dxa"/>
            <w:vAlign w:val="center"/>
          </w:tcPr>
          <w:p>
            <w:pPr>
              <w:pStyle w:val="12"/>
            </w:pPr>
            <w:r>
              <w:t>补贴汽车数量</w:t>
            </w:r>
          </w:p>
        </w:tc>
        <w:tc>
          <w:tcPr>
            <w:tcW w:w="2551" w:type="dxa"/>
            <w:vAlign w:val="center"/>
          </w:tcPr>
          <w:p>
            <w:pPr>
              <w:pStyle w:val="12"/>
            </w:pPr>
            <w:r>
              <w:t>≥5000辆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资金拨付合规性</w:t>
            </w:r>
          </w:p>
        </w:tc>
        <w:tc>
          <w:tcPr>
            <w:tcW w:w="3430" w:type="dxa"/>
            <w:vAlign w:val="center"/>
          </w:tcPr>
          <w:p>
            <w:pPr>
              <w:pStyle w:val="12"/>
            </w:pPr>
            <w:r>
              <w:t>资金拨付合规性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补贴金额</w:t>
            </w:r>
          </w:p>
        </w:tc>
        <w:tc>
          <w:tcPr>
            <w:tcW w:w="3430" w:type="dxa"/>
            <w:vAlign w:val="center"/>
          </w:tcPr>
          <w:p>
            <w:pPr>
              <w:pStyle w:val="12"/>
            </w:pPr>
            <w:r>
              <w:t>补贴金额</w:t>
            </w:r>
          </w:p>
        </w:tc>
        <w:tc>
          <w:tcPr>
            <w:tcW w:w="2551" w:type="dxa"/>
            <w:vAlign w:val="center"/>
          </w:tcPr>
          <w:p>
            <w:pPr>
              <w:pStyle w:val="12"/>
            </w:pPr>
            <w:r>
              <w:t>≤1800万元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新能源汽车购置成本</w:t>
            </w:r>
          </w:p>
        </w:tc>
        <w:tc>
          <w:tcPr>
            <w:tcW w:w="3430" w:type="dxa"/>
            <w:vAlign w:val="center"/>
          </w:tcPr>
          <w:p>
            <w:pPr>
              <w:pStyle w:val="12"/>
            </w:pPr>
            <w:r>
              <w:t>新能源汽车购置成本</w:t>
            </w:r>
          </w:p>
        </w:tc>
        <w:tc>
          <w:tcPr>
            <w:tcW w:w="2551" w:type="dxa"/>
            <w:vAlign w:val="center"/>
          </w:tcPr>
          <w:p>
            <w:pPr>
              <w:pStyle w:val="12"/>
            </w:pPr>
            <w:r>
              <w:t>按照补贴标准降低新能源汽车购车成本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新能源汽车保有量</w:t>
            </w:r>
          </w:p>
        </w:tc>
        <w:tc>
          <w:tcPr>
            <w:tcW w:w="3430" w:type="dxa"/>
            <w:vAlign w:val="center"/>
          </w:tcPr>
          <w:p>
            <w:pPr>
              <w:pStyle w:val="12"/>
            </w:pPr>
            <w:r>
              <w:t>新能源汽车保有量</w:t>
            </w:r>
          </w:p>
        </w:tc>
        <w:tc>
          <w:tcPr>
            <w:tcW w:w="2551" w:type="dxa"/>
            <w:vAlign w:val="center"/>
          </w:tcPr>
          <w:p>
            <w:pPr>
              <w:pStyle w:val="12"/>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汽车燃油消耗量</w:t>
            </w:r>
          </w:p>
        </w:tc>
        <w:tc>
          <w:tcPr>
            <w:tcW w:w="3430" w:type="dxa"/>
            <w:vAlign w:val="center"/>
          </w:tcPr>
          <w:p>
            <w:pPr>
              <w:pStyle w:val="12"/>
            </w:pPr>
            <w:r>
              <w:t>汽车燃油消耗量</w:t>
            </w:r>
          </w:p>
        </w:tc>
        <w:tc>
          <w:tcPr>
            <w:tcW w:w="2551" w:type="dxa"/>
            <w:vAlign w:val="center"/>
          </w:tcPr>
          <w:p>
            <w:pPr>
              <w:pStyle w:val="12"/>
            </w:pPr>
            <w:r>
              <w:t xml:space="preserve"> 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服务对象满意度 </w:t>
            </w:r>
          </w:p>
        </w:tc>
        <w:tc>
          <w:tcPr>
            <w:tcW w:w="3430" w:type="dxa"/>
            <w:vAlign w:val="center"/>
          </w:tcPr>
          <w:p>
            <w:pPr>
              <w:pStyle w:val="12"/>
            </w:pPr>
            <w:r>
              <w:t xml:space="preserve">服务对象满意度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21"/>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.稽查总队制造业高质量协同发展项目绩效目标表</w:t>
      </w:r>
      <w:bookmarkEnd w:id="15"/>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稽查总队制造业高质量协同发展项目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48.99</w:t>
            </w:r>
          </w:p>
        </w:tc>
        <w:tc>
          <w:tcPr>
            <w:tcW w:w="1587" w:type="dxa"/>
            <w:vAlign w:val="center"/>
          </w:tcPr>
          <w:p>
            <w:pPr>
              <w:pStyle w:val="13"/>
            </w:pPr>
            <w:r>
              <w:t>其中：财政    资金</w:t>
            </w:r>
          </w:p>
        </w:tc>
        <w:tc>
          <w:tcPr>
            <w:tcW w:w="1843" w:type="dxa"/>
            <w:vAlign w:val="center"/>
          </w:tcPr>
          <w:p>
            <w:pPr>
              <w:pStyle w:val="12"/>
            </w:pPr>
            <w:r>
              <w:t>48.99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为保证稽查总队办公运行，总队承租房屋面积为2444.7平方米，物业管理费为16.7元/月/平米，每月物业管理费为40826.49元，2025年物业管理费为449917.88元。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1.保障总队办公运行及各项工作顺利开展。</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办公用房面积</w:t>
            </w:r>
          </w:p>
        </w:tc>
        <w:tc>
          <w:tcPr>
            <w:tcW w:w="3430" w:type="dxa"/>
            <w:vAlign w:val="center"/>
          </w:tcPr>
          <w:p>
            <w:pPr>
              <w:pStyle w:val="12"/>
            </w:pPr>
            <w:r>
              <w:t>2444.7平方米</w:t>
            </w:r>
          </w:p>
        </w:tc>
        <w:tc>
          <w:tcPr>
            <w:tcW w:w="2551" w:type="dxa"/>
            <w:vAlign w:val="center"/>
          </w:tcPr>
          <w:p>
            <w:pPr>
              <w:pStyle w:val="12"/>
            </w:pPr>
            <w:r>
              <w:t>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重点工作完成率</w:t>
            </w:r>
          </w:p>
        </w:tc>
        <w:tc>
          <w:tcPr>
            <w:tcW w:w="3430" w:type="dxa"/>
            <w:vAlign w:val="center"/>
          </w:tcPr>
          <w:p>
            <w:pPr>
              <w:pStyle w:val="12"/>
            </w:pPr>
            <w:r>
              <w:t>保障总队重点工作完成</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经费使用合规率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2025年1月-12月</w:t>
            </w:r>
          </w:p>
        </w:tc>
        <w:tc>
          <w:tcPr>
            <w:tcW w:w="2551" w:type="dxa"/>
            <w:vAlign w:val="center"/>
          </w:tcPr>
          <w:p>
            <w:pPr>
              <w:pStyle w:val="12"/>
            </w:pPr>
            <w:r>
              <w:t>2025年1月-12月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资金使用</w:t>
            </w:r>
          </w:p>
        </w:tc>
        <w:tc>
          <w:tcPr>
            <w:tcW w:w="3430" w:type="dxa"/>
            <w:vAlign w:val="center"/>
          </w:tcPr>
          <w:p>
            <w:pPr>
              <w:pStyle w:val="12"/>
            </w:pPr>
            <w:r>
              <w:t>2025年物业管理费为449917.88元。</w:t>
            </w:r>
          </w:p>
        </w:tc>
        <w:tc>
          <w:tcPr>
            <w:tcW w:w="2551" w:type="dxa"/>
            <w:vAlign w:val="center"/>
          </w:tcPr>
          <w:p>
            <w:pPr>
              <w:pStyle w:val="12"/>
            </w:pPr>
            <w:r>
              <w:t>≤48.99万元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可持续影响指标</w:t>
            </w:r>
          </w:p>
        </w:tc>
        <w:tc>
          <w:tcPr>
            <w:tcW w:w="3430" w:type="dxa"/>
            <w:vAlign w:val="center"/>
          </w:tcPr>
          <w:p>
            <w:pPr>
              <w:pStyle w:val="12"/>
            </w:pPr>
            <w:r>
              <w:t>办公用房保障水平</w:t>
            </w:r>
          </w:p>
        </w:tc>
        <w:tc>
          <w:tcPr>
            <w:tcW w:w="2551" w:type="dxa"/>
            <w:vAlign w:val="center"/>
          </w:tcPr>
          <w:p>
            <w:pPr>
              <w:pStyle w:val="12"/>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及时支付费用，保证满意度</w:t>
            </w:r>
          </w:p>
        </w:tc>
        <w:tc>
          <w:tcPr>
            <w:tcW w:w="3430" w:type="dxa"/>
            <w:vAlign w:val="center"/>
          </w:tcPr>
          <w:p>
            <w:pPr>
              <w:pStyle w:val="12"/>
            </w:pPr>
            <w:r>
              <w:t>及时支付费用</w:t>
            </w:r>
          </w:p>
        </w:tc>
        <w:tc>
          <w:tcPr>
            <w:tcW w:w="2551" w:type="dxa"/>
            <w:vAlign w:val="center"/>
          </w:tcPr>
          <w:p>
            <w:pPr>
              <w:pStyle w:val="12"/>
            </w:pPr>
            <w:r>
              <w:t>2025年底前支付物业管理费</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.稽查执法专项经费绩效目标表</w:t>
      </w:r>
      <w:bookmarkEnd w:id="16"/>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30.01</w:t>
            </w:r>
          </w:p>
        </w:tc>
        <w:tc>
          <w:tcPr>
            <w:tcW w:w="1587" w:type="dxa"/>
            <w:vAlign w:val="center"/>
          </w:tcPr>
          <w:p>
            <w:pPr>
              <w:pStyle w:val="13"/>
            </w:pPr>
            <w:r>
              <w:t>其中：财政    资金</w:t>
            </w:r>
          </w:p>
        </w:tc>
        <w:tc>
          <w:tcPr>
            <w:tcW w:w="1843" w:type="dxa"/>
            <w:vAlign w:val="center"/>
          </w:tcPr>
          <w:p>
            <w:pPr>
              <w:pStyle w:val="12"/>
            </w:pPr>
            <w:r>
              <w:t>30.01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保证工业领域执法工作正常开展，提高执法工作效率.</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1.保证工业领域执法工作正常开展，保证各领域执法工作合规、及时完成，提高执法工作效率。</w:t>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执法检查企业家数</w:t>
            </w:r>
          </w:p>
        </w:tc>
        <w:tc>
          <w:tcPr>
            <w:tcW w:w="3430" w:type="dxa"/>
            <w:vAlign w:val="center"/>
          </w:tcPr>
          <w:p>
            <w:pPr>
              <w:pStyle w:val="12"/>
            </w:pPr>
            <w:r>
              <w:t>履行行政执法权检查企业家（次）</w:t>
            </w:r>
          </w:p>
        </w:tc>
        <w:tc>
          <w:tcPr>
            <w:tcW w:w="2551" w:type="dxa"/>
            <w:vAlign w:val="center"/>
          </w:tcPr>
          <w:p>
            <w:pPr>
              <w:pStyle w:val="12"/>
            </w:pPr>
            <w:r>
              <w:t>≥150家（次）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普法次数</w:t>
            </w:r>
          </w:p>
        </w:tc>
        <w:tc>
          <w:tcPr>
            <w:tcW w:w="3430" w:type="dxa"/>
            <w:vAlign w:val="center"/>
          </w:tcPr>
          <w:p>
            <w:pPr>
              <w:pStyle w:val="12"/>
            </w:pPr>
            <w:r>
              <w:t>履行普法次数</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执法检查合规率</w:t>
            </w:r>
          </w:p>
        </w:tc>
        <w:tc>
          <w:tcPr>
            <w:tcW w:w="3430" w:type="dxa"/>
            <w:vAlign w:val="center"/>
          </w:tcPr>
          <w:p>
            <w:pPr>
              <w:pStyle w:val="12"/>
            </w:pPr>
            <w:r>
              <w:t>各领域执法检查合规率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资金使用</w:t>
            </w:r>
          </w:p>
        </w:tc>
        <w:tc>
          <w:tcPr>
            <w:tcW w:w="3430" w:type="dxa"/>
            <w:vAlign w:val="center"/>
          </w:tcPr>
          <w:p>
            <w:pPr>
              <w:pStyle w:val="12"/>
            </w:pPr>
            <w:r>
              <w:t>保障各领域执法正常开展</w:t>
            </w:r>
          </w:p>
        </w:tc>
        <w:tc>
          <w:tcPr>
            <w:tcW w:w="2551" w:type="dxa"/>
            <w:vAlign w:val="center"/>
          </w:tcPr>
          <w:p>
            <w:pPr>
              <w:pStyle w:val="12"/>
            </w:pPr>
            <w:r>
              <w:t>≤30.01万元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执法检查及时率</w:t>
            </w:r>
          </w:p>
        </w:tc>
        <w:tc>
          <w:tcPr>
            <w:tcW w:w="3430" w:type="dxa"/>
            <w:vAlign w:val="center"/>
          </w:tcPr>
          <w:p>
            <w:pPr>
              <w:pStyle w:val="12"/>
            </w:pPr>
            <w:r>
              <w:t>各领域执法检查及时率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保障工业领域执法工作正常开展</w:t>
            </w:r>
          </w:p>
        </w:tc>
        <w:tc>
          <w:tcPr>
            <w:tcW w:w="3430" w:type="dxa"/>
            <w:vAlign w:val="center"/>
          </w:tcPr>
          <w:p>
            <w:pPr>
              <w:pStyle w:val="12"/>
            </w:pPr>
            <w:r>
              <w:t>保障工业领域执法正常开展，提高执法效率</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被检查企业满意度</w:t>
            </w:r>
          </w:p>
        </w:tc>
        <w:tc>
          <w:tcPr>
            <w:tcW w:w="3430" w:type="dxa"/>
            <w:vAlign w:val="center"/>
          </w:tcPr>
          <w:p>
            <w:pPr>
              <w:pStyle w:val="12"/>
            </w:pPr>
            <w:r>
              <w:t>被检查企业满意度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3"/>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.无线电管理设施建设项目—中央绩效目标表</w:t>
      </w:r>
      <w:bookmarkEnd w:id="17"/>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无线电管理设施建设项目—中央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680.00</w:t>
            </w:r>
          </w:p>
        </w:tc>
        <w:tc>
          <w:tcPr>
            <w:tcW w:w="1587" w:type="dxa"/>
            <w:vAlign w:val="center"/>
          </w:tcPr>
          <w:p>
            <w:pPr>
              <w:pStyle w:val="13"/>
            </w:pPr>
            <w:r>
              <w:t>其中：财政    资金</w:t>
            </w:r>
          </w:p>
        </w:tc>
        <w:tc>
          <w:tcPr>
            <w:tcW w:w="1843" w:type="dxa"/>
            <w:vAlign w:val="center"/>
          </w:tcPr>
          <w:p>
            <w:pPr>
              <w:pStyle w:val="12"/>
            </w:pPr>
            <w:r>
              <w:t>680.00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无线电管理设施建设项目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2025年，天津市无线电管理经费资金用于进行无线电基础和技术设施的建设，包括开展天津市无线电管理指挥中心升级改造项目、信息化网络和安全升级改造项目、天津市四类固定监测站升级改造项目二期、电磁空间安全管控专项提升工程二期。</w:t>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无线电基础和技术设施建设项目执行数量 </w:t>
            </w:r>
          </w:p>
        </w:tc>
        <w:tc>
          <w:tcPr>
            <w:tcW w:w="3430" w:type="dxa"/>
            <w:vAlign w:val="center"/>
          </w:tcPr>
          <w:p>
            <w:pPr>
              <w:pStyle w:val="12"/>
            </w:pPr>
            <w:r>
              <w:t>天津市无线电管理指挥中心升级改造项目、信息化网络和安全升级改造项目、天津市四类固定监测站升级改造项目二期、电磁空间安全管控专项提升工程二期</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完工项目验收合格率</w:t>
            </w:r>
          </w:p>
        </w:tc>
        <w:tc>
          <w:tcPr>
            <w:tcW w:w="3430" w:type="dxa"/>
            <w:vAlign w:val="center"/>
          </w:tcPr>
          <w:p>
            <w:pPr>
              <w:pStyle w:val="12"/>
            </w:pPr>
            <w:r>
              <w:t xml:space="preserve"> 完工项目验收合格率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建设项目按期完工率</w:t>
            </w:r>
          </w:p>
        </w:tc>
        <w:tc>
          <w:tcPr>
            <w:tcW w:w="3430" w:type="dxa"/>
            <w:vAlign w:val="center"/>
          </w:tcPr>
          <w:p>
            <w:pPr>
              <w:pStyle w:val="12"/>
            </w:pPr>
            <w:r>
              <w:t xml:space="preserve"> 建设项目按期完工率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建设项目成本控制预算额</w:t>
            </w:r>
          </w:p>
        </w:tc>
        <w:tc>
          <w:tcPr>
            <w:tcW w:w="3430" w:type="dxa"/>
            <w:vAlign w:val="center"/>
          </w:tcPr>
          <w:p>
            <w:pPr>
              <w:pStyle w:val="12"/>
            </w:pPr>
            <w:r>
              <w:t>建设项目成本控制预算额</w:t>
            </w:r>
          </w:p>
        </w:tc>
        <w:tc>
          <w:tcPr>
            <w:tcW w:w="2551" w:type="dxa"/>
            <w:vAlign w:val="center"/>
          </w:tcPr>
          <w:p>
            <w:pPr>
              <w:pStyle w:val="12"/>
            </w:pPr>
            <w:r>
              <w:t>≤680万元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促进当地经济发展</w:t>
            </w:r>
          </w:p>
        </w:tc>
        <w:tc>
          <w:tcPr>
            <w:tcW w:w="2551" w:type="dxa"/>
            <w:vAlign w:val="center"/>
          </w:tcPr>
          <w:p>
            <w:pPr>
              <w:pStyle w:val="12"/>
            </w:pPr>
            <w:r>
              <w:t>促进当地经济发展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提升无线电监测能力</w:t>
            </w:r>
          </w:p>
        </w:tc>
        <w:tc>
          <w:tcPr>
            <w:tcW w:w="3430" w:type="dxa"/>
            <w:vAlign w:val="center"/>
          </w:tcPr>
          <w:p>
            <w:pPr>
              <w:pStyle w:val="12"/>
            </w:pPr>
            <w:r>
              <w:t>提升无线电监测能力</w:t>
            </w:r>
          </w:p>
        </w:tc>
        <w:tc>
          <w:tcPr>
            <w:tcW w:w="2551" w:type="dxa"/>
            <w:vAlign w:val="center"/>
          </w:tcPr>
          <w:p>
            <w:pPr>
              <w:pStyle w:val="12"/>
            </w:pPr>
            <w:r>
              <w:t>提升无线电监测能力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4"/>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.无线电管理设施运行维护项目—中央绩效目标表</w:t>
      </w:r>
      <w:bookmarkEnd w:id="18"/>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无线电管理设施运行维护项目—中央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1793.00</w:t>
            </w:r>
          </w:p>
        </w:tc>
        <w:tc>
          <w:tcPr>
            <w:tcW w:w="1587" w:type="dxa"/>
            <w:vAlign w:val="center"/>
          </w:tcPr>
          <w:p>
            <w:pPr>
              <w:pStyle w:val="13"/>
            </w:pPr>
            <w:r>
              <w:t>其中：财政    资金</w:t>
            </w:r>
          </w:p>
        </w:tc>
        <w:tc>
          <w:tcPr>
            <w:tcW w:w="1843" w:type="dxa"/>
            <w:vAlign w:val="center"/>
          </w:tcPr>
          <w:p>
            <w:pPr>
              <w:pStyle w:val="12"/>
            </w:pPr>
            <w:r>
              <w:t>1793.00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无线电管理设施运行维护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2025年，天津市无线电管理经费资金用于进行无线电基础和技术设施的运行维护工作，包括完成本年度技术设备、无线电专用房屋建筑物和无线电管理特种车辆的运行维护，加强无线电频率、台站的精细化管理，有力保障电磁空间安全有序，服务天津市经济社会发展。</w:t>
            </w:r>
            <w:r>
              <w:tab/>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开展无线电监测设施定期巡检、测试验证次数 </w:t>
            </w:r>
          </w:p>
        </w:tc>
        <w:tc>
          <w:tcPr>
            <w:tcW w:w="3430" w:type="dxa"/>
            <w:vAlign w:val="center"/>
          </w:tcPr>
          <w:p>
            <w:pPr>
              <w:pStyle w:val="12"/>
            </w:pPr>
            <w:r>
              <w:t>开展无线电监测设施定期巡检、测试验证次数情况</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运行维护设备覆盖率</w:t>
            </w:r>
          </w:p>
        </w:tc>
        <w:tc>
          <w:tcPr>
            <w:tcW w:w="3430" w:type="dxa"/>
            <w:vAlign w:val="center"/>
          </w:tcPr>
          <w:p>
            <w:pPr>
              <w:pStyle w:val="12"/>
            </w:pPr>
            <w:r>
              <w:t>运行维护设备覆盖情况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运行维护及时率</w:t>
            </w:r>
          </w:p>
        </w:tc>
        <w:tc>
          <w:tcPr>
            <w:tcW w:w="3430" w:type="dxa"/>
            <w:vAlign w:val="center"/>
          </w:tcPr>
          <w:p>
            <w:pPr>
              <w:pStyle w:val="12"/>
            </w:pPr>
            <w:r>
              <w:t>运行维护及时情况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问题响应时间</w:t>
            </w:r>
          </w:p>
        </w:tc>
        <w:tc>
          <w:tcPr>
            <w:tcW w:w="3430" w:type="dxa"/>
            <w:vAlign w:val="center"/>
          </w:tcPr>
          <w:p>
            <w:pPr>
              <w:pStyle w:val="12"/>
            </w:pPr>
            <w:r>
              <w:t>问题响应时间情况</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无线电管理设施运行维护经费</w:t>
            </w:r>
          </w:p>
        </w:tc>
        <w:tc>
          <w:tcPr>
            <w:tcW w:w="3430" w:type="dxa"/>
            <w:vAlign w:val="center"/>
          </w:tcPr>
          <w:p>
            <w:pPr>
              <w:pStyle w:val="12"/>
            </w:pPr>
            <w:r>
              <w:t>无线电管理设施运行维护经费</w:t>
            </w:r>
          </w:p>
        </w:tc>
        <w:tc>
          <w:tcPr>
            <w:tcW w:w="2551" w:type="dxa"/>
            <w:vAlign w:val="center"/>
          </w:tcPr>
          <w:p>
            <w:pPr>
              <w:pStyle w:val="12"/>
            </w:pPr>
            <w:r>
              <w:t>≤1793万元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促进当地经济发展</w:t>
            </w:r>
          </w:p>
        </w:tc>
        <w:tc>
          <w:tcPr>
            <w:tcW w:w="2551" w:type="dxa"/>
            <w:vAlign w:val="center"/>
          </w:tcPr>
          <w:p>
            <w:pPr>
              <w:pStyle w:val="12"/>
            </w:pPr>
            <w:r>
              <w:t>促进当地经济发展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提升无线电技术能力</w:t>
            </w:r>
          </w:p>
        </w:tc>
        <w:tc>
          <w:tcPr>
            <w:tcW w:w="3430" w:type="dxa"/>
            <w:vAlign w:val="center"/>
          </w:tcPr>
          <w:p>
            <w:pPr>
              <w:pStyle w:val="12"/>
            </w:pPr>
            <w:r>
              <w:t>提升无线电技术能力情况</w:t>
            </w:r>
          </w:p>
        </w:tc>
        <w:tc>
          <w:tcPr>
            <w:tcW w:w="2551" w:type="dxa"/>
            <w:vAlign w:val="center"/>
          </w:tcPr>
          <w:p>
            <w:pPr>
              <w:pStyle w:val="12"/>
            </w:pPr>
            <w:r>
              <w:t>提升无线电技术能力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5"/>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.无线电基础设施建设项目-中央绩效目标表</w:t>
      </w:r>
      <w:bookmarkEnd w:id="19"/>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无线电基础设施建设项目-中央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13.90</w:t>
            </w:r>
          </w:p>
        </w:tc>
        <w:tc>
          <w:tcPr>
            <w:tcW w:w="1587" w:type="dxa"/>
            <w:vAlign w:val="center"/>
          </w:tcPr>
          <w:p>
            <w:pPr>
              <w:pStyle w:val="13"/>
            </w:pPr>
            <w:r>
              <w:t>其中：财政    资金</w:t>
            </w:r>
          </w:p>
        </w:tc>
        <w:tc>
          <w:tcPr>
            <w:tcW w:w="1843" w:type="dxa"/>
            <w:vAlign w:val="center"/>
          </w:tcPr>
          <w:p>
            <w:pPr>
              <w:pStyle w:val="12"/>
            </w:pPr>
            <w:r>
              <w:t>13.90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开展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建设无线电管理设施数</w:t>
            </w:r>
          </w:p>
        </w:tc>
        <w:tc>
          <w:tcPr>
            <w:tcW w:w="3430" w:type="dxa"/>
            <w:vAlign w:val="center"/>
          </w:tcPr>
          <w:p>
            <w:pPr>
              <w:pStyle w:val="12"/>
            </w:pPr>
            <w:r>
              <w:t>建设项目7个，具体建设内容包括：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设施验收达标率</w:t>
            </w:r>
          </w:p>
        </w:tc>
        <w:tc>
          <w:tcPr>
            <w:tcW w:w="3430" w:type="dxa"/>
            <w:vAlign w:val="center"/>
          </w:tcPr>
          <w:p>
            <w:pPr>
              <w:pStyle w:val="12"/>
            </w:pPr>
            <w:r>
              <w:t>建设项目质量达标率100%(仅限组织验收的项目，包括当年的预算项目和以前年度预算项目)。</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设施建设及时率</w:t>
            </w:r>
          </w:p>
        </w:tc>
        <w:tc>
          <w:tcPr>
            <w:tcW w:w="3430" w:type="dxa"/>
            <w:vAlign w:val="center"/>
          </w:tcPr>
          <w:p>
            <w:pPr>
              <w:pStyle w:val="12"/>
            </w:pPr>
            <w:r>
              <w:t>续建项目完成终验率100%；</w:t>
            </w:r>
          </w:p>
          <w:p>
            <w:pPr>
              <w:pStyle w:val="12"/>
            </w:pPr>
            <w:r>
              <w:t>完成本年度新建技术设施建设项目的招标采购、合同签订、支付首付款等工作。</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无线电管理设施建设经费</w:t>
            </w:r>
          </w:p>
        </w:tc>
        <w:tc>
          <w:tcPr>
            <w:tcW w:w="3430" w:type="dxa"/>
            <w:vAlign w:val="center"/>
          </w:tcPr>
          <w:p>
            <w:pPr>
              <w:pStyle w:val="12"/>
            </w:pPr>
            <w:r>
              <w:t>按照预算执行。</w:t>
            </w:r>
          </w:p>
        </w:tc>
        <w:tc>
          <w:tcPr>
            <w:tcW w:w="2551" w:type="dxa"/>
            <w:vAlign w:val="center"/>
          </w:tcPr>
          <w:p>
            <w:pPr>
              <w:pStyle w:val="12"/>
            </w:pPr>
            <w:r>
              <w:t>小于等于13.901460万元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确保各类合法无线电业务正常开展，维护空中电波秩序，服务经济社会发展。</w:t>
            </w:r>
          </w:p>
        </w:tc>
        <w:tc>
          <w:tcPr>
            <w:tcW w:w="2551" w:type="dxa"/>
            <w:vAlign w:val="center"/>
          </w:tcPr>
          <w:p>
            <w:pPr>
              <w:pStyle w:val="1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设备使用情况</w:t>
            </w:r>
          </w:p>
        </w:tc>
        <w:tc>
          <w:tcPr>
            <w:tcW w:w="3430" w:type="dxa"/>
            <w:vAlign w:val="center"/>
          </w:tcPr>
          <w:p>
            <w:pPr>
              <w:pStyle w:val="12"/>
            </w:pPr>
            <w:r>
              <w:t>维护空中电波秩序，服务经济社会发展</w:t>
            </w:r>
          </w:p>
        </w:tc>
        <w:tc>
          <w:tcPr>
            <w:tcW w:w="2551" w:type="dxa"/>
            <w:vAlign w:val="center"/>
          </w:tcPr>
          <w:p>
            <w:pPr>
              <w:pStyle w:val="12"/>
            </w:pPr>
            <w:r>
              <w:t>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3430" w:type="dxa"/>
            <w:vAlign w:val="center"/>
          </w:tcPr>
          <w:p>
            <w:pPr>
              <w:pStyle w:val="12"/>
            </w:pPr>
            <w:r>
              <w:t>社会公众零投诉；</w:t>
            </w:r>
          </w:p>
          <w:p>
            <w:pPr>
              <w:pStyle w:val="12"/>
            </w:pPr>
            <w:r>
              <w:t>积极配合公安等相关部门，做好无线电安全保障工作；</w:t>
            </w:r>
          </w:p>
          <w:p>
            <w:pPr>
              <w:pStyle w:val="12"/>
            </w:pPr>
            <w:r>
              <w:t>完成“黑广播”、“伪基站”设备鉴定工作及其他无线电管理基础性检测工作达到客户满意度100%。</w:t>
            </w:r>
          </w:p>
        </w:tc>
        <w:tc>
          <w:tcPr>
            <w:tcW w:w="2551" w:type="dxa"/>
            <w:vAlign w:val="center"/>
          </w:tcPr>
          <w:p>
            <w:pPr>
              <w:pStyle w:val="12"/>
            </w:pPr>
            <w:r>
              <w:t>&gt;0.95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6"/>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.无线电设施运行维护费-中央绩效目标表</w:t>
      </w:r>
      <w:bookmarkEnd w:id="2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无线电设施运行维护费-中央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206.13</w:t>
            </w:r>
          </w:p>
        </w:tc>
        <w:tc>
          <w:tcPr>
            <w:tcW w:w="1587" w:type="dxa"/>
            <w:vAlign w:val="center"/>
          </w:tcPr>
          <w:p>
            <w:pPr>
              <w:pStyle w:val="13"/>
            </w:pPr>
            <w:r>
              <w:t>其中：财政    资金</w:t>
            </w:r>
          </w:p>
        </w:tc>
        <w:tc>
          <w:tcPr>
            <w:tcW w:w="1843" w:type="dxa"/>
            <w:vAlign w:val="center"/>
          </w:tcPr>
          <w:p>
            <w:pPr>
              <w:pStyle w:val="12"/>
            </w:pPr>
            <w:r>
              <w:t>206.13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无线电设施运行维护费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1.目标内容1:完成本年度技术设备、无线电专用房屋建筑物和无线电管理特种车辆的运行维护</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检测设备、设施定期维护每季度</w:t>
            </w:r>
          </w:p>
        </w:tc>
        <w:tc>
          <w:tcPr>
            <w:tcW w:w="3430" w:type="dxa"/>
            <w:vAlign w:val="center"/>
          </w:tcPr>
          <w:p>
            <w:pPr>
              <w:pStyle w:val="12"/>
            </w:pPr>
            <w:r>
              <w:t>开展检测设备、设施定期维护每季度次数；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检测设备校准</w:t>
            </w:r>
          </w:p>
        </w:tc>
        <w:tc>
          <w:tcPr>
            <w:tcW w:w="3430" w:type="dxa"/>
            <w:vAlign w:val="center"/>
          </w:tcPr>
          <w:p>
            <w:pPr>
              <w:pStyle w:val="12"/>
            </w:pPr>
            <w:r>
              <w:t>开展检测设备校准每年1次数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无线电监测设施完好率</w:t>
            </w:r>
          </w:p>
        </w:tc>
        <w:tc>
          <w:tcPr>
            <w:tcW w:w="3430" w:type="dxa"/>
            <w:vAlign w:val="center"/>
          </w:tcPr>
          <w:p>
            <w:pPr>
              <w:pStyle w:val="12"/>
            </w:pPr>
            <w:r>
              <w:t>无线电监测设施完好率80%（使用时限达十年以上的除外）。</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问题响应时间</w:t>
            </w:r>
          </w:p>
        </w:tc>
        <w:tc>
          <w:tcPr>
            <w:tcW w:w="3430" w:type="dxa"/>
            <w:vAlign w:val="center"/>
          </w:tcPr>
          <w:p>
            <w:pPr>
              <w:pStyle w:val="12"/>
            </w:pPr>
            <w:r>
              <w:t>能在规定时间完成技术设施维修并符合质量要求，按照计划执行巡检任务，发现问题响应时间不超过48小时。</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无线电管理设施运行维护经费</w:t>
            </w:r>
          </w:p>
        </w:tc>
        <w:tc>
          <w:tcPr>
            <w:tcW w:w="3430" w:type="dxa"/>
            <w:vAlign w:val="center"/>
          </w:tcPr>
          <w:p>
            <w:pPr>
              <w:pStyle w:val="12"/>
            </w:pPr>
            <w:r>
              <w:t>按照预算执行。</w:t>
            </w:r>
          </w:p>
        </w:tc>
        <w:tc>
          <w:tcPr>
            <w:tcW w:w="2551" w:type="dxa"/>
            <w:vAlign w:val="center"/>
          </w:tcPr>
          <w:p>
            <w:pPr>
              <w:pStyle w:val="12"/>
            </w:pPr>
            <w:r>
              <w:t>小于等于206.127316万元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提升无线电技术能力</w:t>
            </w:r>
          </w:p>
        </w:tc>
        <w:tc>
          <w:tcPr>
            <w:tcW w:w="3430" w:type="dxa"/>
            <w:vAlign w:val="center"/>
          </w:tcPr>
          <w:p>
            <w:pPr>
              <w:pStyle w:val="12"/>
            </w:pPr>
            <w:r>
              <w:t>提升无线电技术能力</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无线电监测设施完好率</w:t>
            </w:r>
          </w:p>
        </w:tc>
        <w:tc>
          <w:tcPr>
            <w:tcW w:w="3430" w:type="dxa"/>
            <w:vAlign w:val="center"/>
          </w:tcPr>
          <w:p>
            <w:pPr>
              <w:pStyle w:val="12"/>
            </w:pPr>
            <w:r>
              <w:t>无线电监测设施完好率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3430" w:type="dxa"/>
            <w:vAlign w:val="center"/>
          </w:tcPr>
          <w:p>
            <w:pPr>
              <w:pStyle w:val="12"/>
            </w:pPr>
            <w:r>
              <w:t>社会公众零投诉；</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7"/>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.无线电专项监管-中央绩效目标表</w:t>
      </w:r>
      <w:bookmarkEnd w:id="2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22.44</w:t>
            </w:r>
          </w:p>
        </w:tc>
        <w:tc>
          <w:tcPr>
            <w:tcW w:w="1587" w:type="dxa"/>
            <w:vAlign w:val="center"/>
          </w:tcPr>
          <w:p>
            <w:pPr>
              <w:pStyle w:val="13"/>
            </w:pPr>
            <w:r>
              <w:t>其中：财政    资金</w:t>
            </w:r>
          </w:p>
        </w:tc>
        <w:tc>
          <w:tcPr>
            <w:tcW w:w="1843" w:type="dxa"/>
            <w:vAlign w:val="center"/>
          </w:tcPr>
          <w:p>
            <w:pPr>
              <w:pStyle w:val="12"/>
            </w:pPr>
            <w:r>
              <w:t>22.44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1.目标内容1：开展重大活动无线电保障、无线电干扰查处等专项监管工作</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开展无线电重大活动保障不少于1次；</w:t>
            </w:r>
          </w:p>
        </w:tc>
        <w:tc>
          <w:tcPr>
            <w:tcW w:w="3430" w:type="dxa"/>
            <w:vAlign w:val="center"/>
          </w:tcPr>
          <w:p>
            <w:pPr>
              <w:pStyle w:val="12"/>
            </w:pPr>
            <w:r>
              <w:t>开展重点活动保障次数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累计监测时长不少于15万站小时；</w:t>
            </w:r>
          </w:p>
        </w:tc>
        <w:tc>
          <w:tcPr>
            <w:tcW w:w="3430" w:type="dxa"/>
            <w:vAlign w:val="center"/>
          </w:tcPr>
          <w:p>
            <w:pPr>
              <w:pStyle w:val="12"/>
            </w:pPr>
            <w:r>
              <w:t>累计监测时长</w:t>
            </w:r>
          </w:p>
        </w:tc>
        <w:tc>
          <w:tcPr>
            <w:tcW w:w="2551" w:type="dxa"/>
            <w:vAlign w:val="center"/>
          </w:tcPr>
          <w:p>
            <w:pPr>
              <w:pStyle w:val="12"/>
            </w:pPr>
            <w:r>
              <w:t>≥15万站小时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开展考试保障不少于20次；</w:t>
            </w:r>
          </w:p>
        </w:tc>
        <w:tc>
          <w:tcPr>
            <w:tcW w:w="3430" w:type="dxa"/>
            <w:vAlign w:val="center"/>
          </w:tcPr>
          <w:p>
            <w:pPr>
              <w:pStyle w:val="12"/>
            </w:pPr>
            <w:r>
              <w:t>开展考试保障次数</w:t>
            </w:r>
          </w:p>
        </w:tc>
        <w:tc>
          <w:tcPr>
            <w:tcW w:w="2551" w:type="dxa"/>
            <w:vAlign w:val="center"/>
          </w:tcPr>
          <w:p>
            <w:pPr>
              <w:pStyle w:val="1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开展无线电监测和干扰查处不少于60次；</w:t>
            </w:r>
          </w:p>
        </w:tc>
        <w:tc>
          <w:tcPr>
            <w:tcW w:w="3430" w:type="dxa"/>
            <w:vAlign w:val="center"/>
          </w:tcPr>
          <w:p>
            <w:pPr>
              <w:pStyle w:val="12"/>
            </w:pPr>
            <w:r>
              <w:t>开展无线电监测和干扰查处次数</w:t>
            </w:r>
          </w:p>
        </w:tc>
        <w:tc>
          <w:tcPr>
            <w:tcW w:w="2551" w:type="dxa"/>
            <w:vAlign w:val="center"/>
          </w:tcPr>
          <w:p>
            <w:pPr>
              <w:pStyle w:val="12"/>
            </w:pPr>
            <w:r>
              <w:t>≥60次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开展监测技术演练1次；</w:t>
            </w:r>
          </w:p>
        </w:tc>
        <w:tc>
          <w:tcPr>
            <w:tcW w:w="3430" w:type="dxa"/>
            <w:vAlign w:val="center"/>
          </w:tcPr>
          <w:p>
            <w:pPr>
              <w:pStyle w:val="12"/>
            </w:pPr>
            <w:r>
              <w:t>开展监测技术演练次数；</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开展培训及辅导4次；</w:t>
            </w:r>
          </w:p>
        </w:tc>
        <w:tc>
          <w:tcPr>
            <w:tcW w:w="3430" w:type="dxa"/>
            <w:vAlign w:val="center"/>
          </w:tcPr>
          <w:p>
            <w:pPr>
              <w:pStyle w:val="12"/>
            </w:pPr>
            <w:r>
              <w:t>开展培训及辅导次数；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开展课题研究1个。 </w:t>
            </w:r>
          </w:p>
        </w:tc>
        <w:tc>
          <w:tcPr>
            <w:tcW w:w="3430" w:type="dxa"/>
            <w:vAlign w:val="center"/>
          </w:tcPr>
          <w:p>
            <w:pPr>
              <w:pStyle w:val="12"/>
            </w:pPr>
            <w:r>
              <w:t>开展课题研究次数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开展无线电发射设备检测不少于40次</w:t>
            </w:r>
          </w:p>
        </w:tc>
        <w:tc>
          <w:tcPr>
            <w:tcW w:w="3430" w:type="dxa"/>
            <w:vAlign w:val="center"/>
          </w:tcPr>
          <w:p>
            <w:pPr>
              <w:pStyle w:val="12"/>
            </w:pPr>
            <w:r>
              <w:t>开展开展无线电发射设备检测次数</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重大活动非法信号处理率100%；</w:t>
            </w:r>
          </w:p>
        </w:tc>
        <w:tc>
          <w:tcPr>
            <w:tcW w:w="3430" w:type="dxa"/>
            <w:vAlign w:val="center"/>
          </w:tcPr>
          <w:p>
            <w:pPr>
              <w:pStyle w:val="12"/>
            </w:pPr>
            <w:r>
              <w:t>重大活动非法信号处理率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民航/铁路干扰查处处理率100%；</w:t>
            </w:r>
          </w:p>
        </w:tc>
        <w:tc>
          <w:tcPr>
            <w:tcW w:w="3430" w:type="dxa"/>
            <w:vAlign w:val="center"/>
          </w:tcPr>
          <w:p>
            <w:pPr>
              <w:pStyle w:val="12"/>
            </w:pPr>
            <w:r>
              <w:t>民航/铁路干扰查处处理率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干扰申诉处理率100%。                                     </w:t>
            </w:r>
          </w:p>
        </w:tc>
        <w:tc>
          <w:tcPr>
            <w:tcW w:w="3430" w:type="dxa"/>
            <w:vAlign w:val="center"/>
          </w:tcPr>
          <w:p>
            <w:pPr>
              <w:pStyle w:val="12"/>
            </w:pPr>
            <w:r>
              <w:t>干扰申诉处理率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公益性检测任务委托方处理率100%。</w:t>
            </w:r>
          </w:p>
        </w:tc>
        <w:tc>
          <w:tcPr>
            <w:tcW w:w="3430" w:type="dxa"/>
            <w:vAlign w:val="center"/>
          </w:tcPr>
          <w:p>
            <w:pPr>
              <w:pStyle w:val="12"/>
            </w:pPr>
            <w:r>
              <w:t>公益性检测任务委托方处理率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重大活动保障时长</w:t>
            </w:r>
          </w:p>
        </w:tc>
        <w:tc>
          <w:tcPr>
            <w:tcW w:w="3430" w:type="dxa"/>
            <w:vAlign w:val="center"/>
          </w:tcPr>
          <w:p>
            <w:pPr>
              <w:pStyle w:val="12"/>
            </w:pPr>
            <w:r>
              <w:t>不低于活动时长</w:t>
            </w:r>
          </w:p>
        </w:tc>
        <w:tc>
          <w:tcPr>
            <w:tcW w:w="2551" w:type="dxa"/>
            <w:vAlign w:val="center"/>
          </w:tcPr>
          <w:p>
            <w:pPr>
              <w:pStyle w:val="12"/>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全年开展考试保障不少于20次</w:t>
            </w:r>
          </w:p>
        </w:tc>
        <w:tc>
          <w:tcPr>
            <w:tcW w:w="3430" w:type="dxa"/>
            <w:vAlign w:val="center"/>
          </w:tcPr>
          <w:p>
            <w:pPr>
              <w:pStyle w:val="12"/>
            </w:pPr>
            <w:r>
              <w:t>开展考试保障次数</w:t>
            </w:r>
          </w:p>
        </w:tc>
        <w:tc>
          <w:tcPr>
            <w:tcW w:w="2551" w:type="dxa"/>
            <w:vAlign w:val="center"/>
          </w:tcPr>
          <w:p>
            <w:pPr>
              <w:pStyle w:val="1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无线电专项监管费用</w:t>
            </w:r>
          </w:p>
        </w:tc>
        <w:tc>
          <w:tcPr>
            <w:tcW w:w="3430" w:type="dxa"/>
            <w:vAlign w:val="center"/>
          </w:tcPr>
          <w:p>
            <w:pPr>
              <w:pStyle w:val="12"/>
            </w:pPr>
            <w:r>
              <w:t>按照预算执行。</w:t>
            </w:r>
          </w:p>
        </w:tc>
        <w:tc>
          <w:tcPr>
            <w:tcW w:w="2551" w:type="dxa"/>
            <w:vAlign w:val="center"/>
          </w:tcPr>
          <w:p>
            <w:pPr>
              <w:pStyle w:val="12"/>
            </w:pPr>
            <w:r>
              <w:t>小于等于22.435000万元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保障和协调全市无线电业务间频率使用，行政许可事项按时办结率100%，确保各类合法无线电业务正常开展，维护空中电波秩序，服务经济社会发展；</w:t>
            </w:r>
          </w:p>
        </w:tc>
        <w:tc>
          <w:tcPr>
            <w:tcW w:w="2551" w:type="dxa"/>
            <w:vAlign w:val="center"/>
          </w:tcPr>
          <w:p>
            <w:pPr>
              <w:pStyle w:val="1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人才队伍建设情况</w:t>
            </w:r>
          </w:p>
        </w:tc>
        <w:tc>
          <w:tcPr>
            <w:tcW w:w="3430" w:type="dxa"/>
            <w:vAlign w:val="center"/>
          </w:tcPr>
          <w:p>
            <w:pPr>
              <w:pStyle w:val="12"/>
            </w:pPr>
            <w:r>
              <w:t>加强政治理论学习，积极参加国家组织的各类培训；</w:t>
            </w:r>
          </w:p>
          <w:p>
            <w:pPr>
              <w:pStyle w:val="12"/>
            </w:pPr>
            <w:r>
              <w:t>组织全市进行无线电管理法规、监测、检测技术及管理体系标准培训；</w:t>
            </w:r>
          </w:p>
          <w:p>
            <w:pPr>
              <w:pStyle w:val="12"/>
            </w:pPr>
            <w:r>
              <w:t>组织全市重大活动保障和应急干扰查处技术演练不少于1次；</w:t>
            </w:r>
          </w:p>
          <w:p>
            <w:pPr>
              <w:pStyle w:val="12"/>
            </w:pPr>
            <w:r>
              <w:t>人均参加政治、法规、业务学习不少于50学时。</w:t>
            </w:r>
          </w:p>
        </w:tc>
        <w:tc>
          <w:tcPr>
            <w:tcW w:w="2551" w:type="dxa"/>
            <w:vAlign w:val="center"/>
          </w:tcPr>
          <w:p>
            <w:pPr>
              <w:pStyle w:val="12"/>
            </w:pPr>
            <w:r>
              <w:t>积极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资金使用整改情况</w:t>
            </w:r>
          </w:p>
        </w:tc>
        <w:tc>
          <w:tcPr>
            <w:tcW w:w="3430" w:type="dxa"/>
            <w:vAlign w:val="center"/>
          </w:tcPr>
          <w:p>
            <w:pPr>
              <w:pStyle w:val="12"/>
            </w:pPr>
            <w:r>
              <w:t>在资金使用监督检查（审计、绩效评价、专项检查）发现的问题能够整改落实。</w:t>
            </w:r>
          </w:p>
        </w:tc>
        <w:tc>
          <w:tcPr>
            <w:tcW w:w="2551" w:type="dxa"/>
            <w:vAlign w:val="center"/>
          </w:tcPr>
          <w:p>
            <w:pPr>
              <w:pStyle w:val="12"/>
            </w:pPr>
            <w:r>
              <w:t>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社会群众满意度</w:t>
            </w:r>
          </w:p>
        </w:tc>
        <w:tc>
          <w:tcPr>
            <w:tcW w:w="3430" w:type="dxa"/>
            <w:vAlign w:val="center"/>
          </w:tcPr>
          <w:p>
            <w:pPr>
              <w:pStyle w:val="12"/>
            </w:pPr>
            <w:r>
              <w:t>社会公众零投诉；</w:t>
            </w:r>
          </w:p>
          <w:p>
            <w:pPr>
              <w:pStyle w:val="12"/>
            </w:pPr>
            <w:r>
              <w:t>积极配合公安等相关部门，做好无线电安全保障工作。</w:t>
            </w:r>
          </w:p>
        </w:tc>
        <w:tc>
          <w:tcPr>
            <w:tcW w:w="2551" w:type="dxa"/>
            <w:vAlign w:val="center"/>
          </w:tcPr>
          <w:p>
            <w:pPr>
              <w:pStyle w:val="12"/>
            </w:pPr>
            <w:r>
              <w:t>≥0.95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8"/>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.专项监管及其他项目—中央绩效目标表</w:t>
      </w:r>
      <w:bookmarkEnd w:id="22"/>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专项监管及其他项目—中央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77.00</w:t>
            </w:r>
          </w:p>
        </w:tc>
        <w:tc>
          <w:tcPr>
            <w:tcW w:w="1587" w:type="dxa"/>
            <w:vAlign w:val="center"/>
          </w:tcPr>
          <w:p>
            <w:pPr>
              <w:pStyle w:val="13"/>
            </w:pPr>
            <w:r>
              <w:t>其中：财政    资金</w:t>
            </w:r>
          </w:p>
        </w:tc>
        <w:tc>
          <w:tcPr>
            <w:tcW w:w="1843" w:type="dxa"/>
            <w:vAlign w:val="center"/>
          </w:tcPr>
          <w:p>
            <w:pPr>
              <w:pStyle w:val="12"/>
            </w:pPr>
            <w:r>
              <w:t>77.00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专项监管及其他项目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 2025年，天津市无线电管理经费资金用于开展重大活动无线电保障、无线电干扰查处等专项监管工作，包括做好无线电专业技术人员培训、无线电监管设备或技术研究、考试保障、无线电频率协调、无线电干扰查处、重大活动无线电安全保障等专项工作，加强无线电频率、台站的精细化管理，有力保障电磁空间安全有序，服务天津市经济社会发展。</w:t>
            </w:r>
            <w:r>
              <w:tab/>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开展重大活动、频率协调、培训、民航铁路专项监测等无线电专项监管次数 </w:t>
            </w:r>
          </w:p>
        </w:tc>
        <w:tc>
          <w:tcPr>
            <w:tcW w:w="3430" w:type="dxa"/>
            <w:vAlign w:val="center"/>
          </w:tcPr>
          <w:p>
            <w:pPr>
              <w:pStyle w:val="12"/>
            </w:pPr>
            <w:r>
              <w:t xml:space="preserve">开展重大活动、频率协调、培训、民航铁路专项监测等无线电专项监管次数 </w:t>
            </w:r>
          </w:p>
        </w:tc>
        <w:tc>
          <w:tcPr>
            <w:tcW w:w="2551" w:type="dxa"/>
            <w:vAlign w:val="center"/>
          </w:tcPr>
          <w:p>
            <w:pPr>
              <w:pStyle w:val="1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开展考试无线电保障次数</w:t>
            </w:r>
          </w:p>
        </w:tc>
        <w:tc>
          <w:tcPr>
            <w:tcW w:w="3430" w:type="dxa"/>
            <w:vAlign w:val="center"/>
          </w:tcPr>
          <w:p>
            <w:pPr>
              <w:pStyle w:val="12"/>
            </w:pPr>
            <w:r>
              <w:t>开展考试无线电保障次数</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开展无线电监测技术演练次数</w:t>
            </w:r>
          </w:p>
        </w:tc>
        <w:tc>
          <w:tcPr>
            <w:tcW w:w="3430" w:type="dxa"/>
            <w:vAlign w:val="center"/>
          </w:tcPr>
          <w:p>
            <w:pPr>
              <w:pStyle w:val="12"/>
            </w:pPr>
            <w:r>
              <w:t>开展无线电监测技术演练次数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无线电干扰查处次数</w:t>
            </w:r>
          </w:p>
        </w:tc>
        <w:tc>
          <w:tcPr>
            <w:tcW w:w="3430" w:type="dxa"/>
            <w:vAlign w:val="center"/>
          </w:tcPr>
          <w:p>
            <w:pPr>
              <w:pStyle w:val="12"/>
            </w:pPr>
            <w:r>
              <w:t>无线电干扰查处次数</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“黑广播”“伪基站”查处</w:t>
            </w:r>
          </w:p>
        </w:tc>
        <w:tc>
          <w:tcPr>
            <w:tcW w:w="3430" w:type="dxa"/>
            <w:vAlign w:val="center"/>
          </w:tcPr>
          <w:p>
            <w:pPr>
              <w:pStyle w:val="12"/>
            </w:pPr>
            <w:r>
              <w:t>“黑广播”“伪基站”查处</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重大活动非法信号处理率</w:t>
            </w:r>
          </w:p>
        </w:tc>
        <w:tc>
          <w:tcPr>
            <w:tcW w:w="3430" w:type="dxa"/>
            <w:vAlign w:val="center"/>
          </w:tcPr>
          <w:p>
            <w:pPr>
              <w:pStyle w:val="12"/>
            </w:pPr>
            <w:r>
              <w:t>重大活动非法信号处理率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干扰查处处理</w:t>
            </w:r>
          </w:p>
        </w:tc>
        <w:tc>
          <w:tcPr>
            <w:tcW w:w="3430" w:type="dxa"/>
            <w:vAlign w:val="center"/>
          </w:tcPr>
          <w:p>
            <w:pPr>
              <w:pStyle w:val="12"/>
            </w:pPr>
            <w:r>
              <w:t>干扰查处处理率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设备维修响应时间</w:t>
            </w:r>
          </w:p>
        </w:tc>
        <w:tc>
          <w:tcPr>
            <w:tcW w:w="3430" w:type="dxa"/>
            <w:vAlign w:val="center"/>
          </w:tcPr>
          <w:p>
            <w:pPr>
              <w:pStyle w:val="12"/>
            </w:pPr>
            <w:r>
              <w:t>设备维修响应时间</w:t>
            </w:r>
          </w:p>
        </w:tc>
        <w:tc>
          <w:tcPr>
            <w:tcW w:w="2551" w:type="dxa"/>
            <w:vAlign w:val="center"/>
          </w:tcPr>
          <w:p>
            <w:pPr>
              <w:pStyle w:val="12"/>
            </w:pPr>
            <w:r>
              <w:t>&lt;48小时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保障时长</w:t>
            </w:r>
          </w:p>
        </w:tc>
        <w:tc>
          <w:tcPr>
            <w:tcW w:w="3430" w:type="dxa"/>
            <w:vAlign w:val="center"/>
          </w:tcPr>
          <w:p>
            <w:pPr>
              <w:pStyle w:val="12"/>
            </w:pPr>
            <w:r>
              <w:t>保障时长</w:t>
            </w:r>
          </w:p>
        </w:tc>
        <w:tc>
          <w:tcPr>
            <w:tcW w:w="2551" w:type="dxa"/>
            <w:vAlign w:val="center"/>
          </w:tcPr>
          <w:p>
            <w:pPr>
              <w:pStyle w:val="12"/>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无线电专项监管费用</w:t>
            </w:r>
          </w:p>
        </w:tc>
        <w:tc>
          <w:tcPr>
            <w:tcW w:w="3430" w:type="dxa"/>
            <w:vAlign w:val="center"/>
          </w:tcPr>
          <w:p>
            <w:pPr>
              <w:pStyle w:val="12"/>
            </w:pPr>
            <w:r>
              <w:t>无线电专项监管费用</w:t>
            </w:r>
          </w:p>
        </w:tc>
        <w:tc>
          <w:tcPr>
            <w:tcW w:w="2551" w:type="dxa"/>
            <w:vAlign w:val="center"/>
          </w:tcPr>
          <w:p>
            <w:pPr>
              <w:pStyle w:val="12"/>
            </w:pPr>
            <w:r>
              <w:t>≤77万元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促进当地经济发展</w:t>
            </w:r>
          </w:p>
        </w:tc>
        <w:tc>
          <w:tcPr>
            <w:tcW w:w="2551" w:type="dxa"/>
            <w:vAlign w:val="center"/>
          </w:tcPr>
          <w:p>
            <w:pPr>
              <w:pStyle w:val="12"/>
            </w:pPr>
            <w:r>
              <w:t>促进当地经济发展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提高无线电安全保障能力</w:t>
            </w:r>
          </w:p>
        </w:tc>
        <w:tc>
          <w:tcPr>
            <w:tcW w:w="3430" w:type="dxa"/>
            <w:vAlign w:val="center"/>
          </w:tcPr>
          <w:p>
            <w:pPr>
              <w:pStyle w:val="12"/>
            </w:pPr>
            <w:r>
              <w:t>提高无线电安全保障能力</w:t>
            </w:r>
          </w:p>
        </w:tc>
        <w:tc>
          <w:tcPr>
            <w:tcW w:w="2551" w:type="dxa"/>
            <w:vAlign w:val="center"/>
          </w:tcPr>
          <w:p>
            <w:pPr>
              <w:pStyle w:val="12"/>
            </w:pPr>
            <w:r>
              <w:t>提高无线电安全保障能力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9"/>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.公共服务平台网络安全服务绩效目标表</w:t>
      </w:r>
      <w:bookmarkEnd w:id="23"/>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322208天津市中小企业服务中心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公共服务平台网络安全服务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为天津市中小企业公共服务平台网络系统提供等级保护测评服务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1.为天津市中小企业公共服务平台网络系统提供等级保护测评服务</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系统升级改造等级保护测评产出数量</w:t>
            </w:r>
          </w:p>
          <w:p>
            <w:pPr>
              <w:pStyle w:val="12"/>
            </w:pPr>
          </w:p>
        </w:tc>
        <w:tc>
          <w:tcPr>
            <w:tcW w:w="3430" w:type="dxa"/>
            <w:vAlign w:val="center"/>
          </w:tcPr>
          <w:p>
            <w:pPr>
              <w:pStyle w:val="12"/>
            </w:pPr>
            <w:r>
              <w:t>系统升级改造等级保护测评产出数量</w:t>
            </w:r>
          </w:p>
          <w:p>
            <w:pPr>
              <w:pStyle w:val="12"/>
            </w:pP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系统等级保护测评完成率</w:t>
            </w:r>
          </w:p>
        </w:tc>
        <w:tc>
          <w:tcPr>
            <w:tcW w:w="3430" w:type="dxa"/>
            <w:vAlign w:val="center"/>
          </w:tcPr>
          <w:p>
            <w:pPr>
              <w:pStyle w:val="12"/>
            </w:pPr>
            <w:r>
              <w:t>系统等级保护测评完成率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拨付及时性</w:t>
            </w:r>
          </w:p>
        </w:tc>
        <w:tc>
          <w:tcPr>
            <w:tcW w:w="3430" w:type="dxa"/>
            <w:vAlign w:val="center"/>
          </w:tcPr>
          <w:p>
            <w:pPr>
              <w:pStyle w:val="12"/>
            </w:pPr>
            <w:r>
              <w:t>拨付及时性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项目资金</w:t>
            </w:r>
          </w:p>
        </w:tc>
        <w:tc>
          <w:tcPr>
            <w:tcW w:w="3430" w:type="dxa"/>
            <w:vAlign w:val="center"/>
          </w:tcPr>
          <w:p>
            <w:pPr>
              <w:pStyle w:val="12"/>
            </w:pPr>
            <w:r>
              <w:t>项目资金不超预算</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保障企业及时安全获得政策等服务</w:t>
            </w:r>
          </w:p>
        </w:tc>
        <w:tc>
          <w:tcPr>
            <w:tcW w:w="3430" w:type="dxa"/>
            <w:vAlign w:val="center"/>
          </w:tcPr>
          <w:p>
            <w:pPr>
              <w:pStyle w:val="12"/>
            </w:pPr>
            <w:r>
              <w:t>保障企业及时安全获得政策等服务</w:t>
            </w:r>
          </w:p>
        </w:tc>
        <w:tc>
          <w:tcPr>
            <w:tcW w:w="2551" w:type="dxa"/>
            <w:vAlign w:val="center"/>
          </w:tcPr>
          <w:p>
            <w:pPr>
              <w:pStyle w:val="12"/>
            </w:pPr>
            <w:r>
              <w:t>保障企业及时安全获得政策等服务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提高信息系统安全保护能力</w:t>
            </w:r>
          </w:p>
        </w:tc>
        <w:tc>
          <w:tcPr>
            <w:tcW w:w="3430" w:type="dxa"/>
            <w:vAlign w:val="center"/>
          </w:tcPr>
          <w:p>
            <w:pPr>
              <w:pStyle w:val="12"/>
            </w:pPr>
            <w:r>
              <w:t>提高信息系统安全保护能力</w:t>
            </w:r>
          </w:p>
        </w:tc>
        <w:tc>
          <w:tcPr>
            <w:tcW w:w="2551" w:type="dxa"/>
            <w:vAlign w:val="center"/>
          </w:tcPr>
          <w:p>
            <w:pPr>
              <w:pStyle w:val="12"/>
            </w:pPr>
            <w:r>
              <w:t>信息系统安全性得到有效提高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访问系统企业无不良投诉</w:t>
            </w:r>
          </w:p>
        </w:tc>
        <w:tc>
          <w:tcPr>
            <w:tcW w:w="3430" w:type="dxa"/>
            <w:vAlign w:val="center"/>
          </w:tcPr>
          <w:p>
            <w:pPr>
              <w:pStyle w:val="12"/>
            </w:pPr>
            <w:r>
              <w:t>企业不良投诉率</w:t>
            </w:r>
          </w:p>
        </w:tc>
        <w:tc>
          <w:tcPr>
            <w:tcW w:w="2551" w:type="dxa"/>
            <w:vAlign w:val="center"/>
          </w:tcPr>
          <w:p>
            <w:pPr>
              <w:pStyle w:val="12"/>
            </w:pPr>
            <w:r>
              <w:t>≤10百分比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30"/>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5</w:t>
      </w:r>
      <w:bookmarkStart w:id="25" w:name="_GoBack"/>
      <w:bookmarkEnd w:id="25"/>
      <w:r>
        <w:rPr>
          <w:rFonts w:ascii="方正仿宋_GBK" w:hAnsi="方正仿宋_GBK" w:eastAsia="方正仿宋_GBK" w:cs="方正仿宋_GBK"/>
          <w:sz w:val="28"/>
        </w:rPr>
        <w:t>.军民融合发展促进中心制造业高质量协同发展项目绩效目标表</w:t>
      </w:r>
      <w:bookmarkEnd w:id="24"/>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322209天津市军民融合发展促进中心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军民融合发展促进中心制造业高质量协同发展项目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制造业高质量发展专项工作经费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1.保障运行及相关工作，推动制造业发展</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保障工作开展月份</w:t>
            </w:r>
          </w:p>
        </w:tc>
        <w:tc>
          <w:tcPr>
            <w:tcW w:w="3430" w:type="dxa"/>
            <w:vAlign w:val="center"/>
          </w:tcPr>
          <w:p>
            <w:pPr>
              <w:pStyle w:val="12"/>
            </w:pPr>
            <w:r>
              <w:t>保障工作开展月份</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日常办公</w:t>
            </w:r>
          </w:p>
        </w:tc>
        <w:tc>
          <w:tcPr>
            <w:tcW w:w="3430" w:type="dxa"/>
            <w:vAlign w:val="center"/>
          </w:tcPr>
          <w:p>
            <w:pPr>
              <w:pStyle w:val="12"/>
            </w:pPr>
            <w:r>
              <w:t>保障日常办公</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2025年1-12月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资金使用</w:t>
            </w:r>
          </w:p>
        </w:tc>
        <w:tc>
          <w:tcPr>
            <w:tcW w:w="3430" w:type="dxa"/>
            <w:vAlign w:val="center"/>
          </w:tcPr>
          <w:p>
            <w:pPr>
              <w:pStyle w:val="12"/>
            </w:pPr>
            <w:r>
              <w:t>全额支付</w:t>
            </w:r>
          </w:p>
        </w:tc>
        <w:tc>
          <w:tcPr>
            <w:tcW w:w="2551" w:type="dxa"/>
            <w:vAlign w:val="center"/>
          </w:tcPr>
          <w:p>
            <w:pPr>
              <w:pStyle w:val="1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持续促进军民融合产业发展</w:t>
            </w:r>
          </w:p>
        </w:tc>
        <w:tc>
          <w:tcPr>
            <w:tcW w:w="3430" w:type="dxa"/>
            <w:vAlign w:val="center"/>
          </w:tcPr>
          <w:p>
            <w:pPr>
              <w:pStyle w:val="12"/>
            </w:pPr>
            <w:r>
              <w:t>持续促进军民融合产业发展</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及时支付费用，保障满意度</w:t>
            </w:r>
          </w:p>
        </w:tc>
        <w:tc>
          <w:tcPr>
            <w:tcW w:w="3430" w:type="dxa"/>
            <w:vAlign w:val="center"/>
          </w:tcPr>
          <w:p>
            <w:pPr>
              <w:pStyle w:val="12"/>
            </w:pPr>
            <w:r>
              <w:t>2025年底前支付</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20D5B"/>
    <w:rsid w:val="009A1FC7"/>
    <w:rsid w:val="00D20D5B"/>
    <w:rsid w:val="00FD78C1"/>
    <w:rsid w:val="3D5B0802"/>
    <w:rsid w:val="3D61389E"/>
    <w:rsid w:val="70725FAE"/>
    <w:rsid w:val="766E35D7"/>
    <w:rsid w:val="789C31F9"/>
    <w:rsid w:val="7F79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4"/>
    <w:link w:val="3"/>
    <w:semiHidden/>
    <w:qFormat/>
    <w:uiPriority w:val="99"/>
    <w:rPr>
      <w:rFonts w:eastAsia="Times New Roman"/>
      <w:sz w:val="18"/>
      <w:szCs w:val="18"/>
      <w:lang w:eastAsia="uk-UA"/>
    </w:rPr>
  </w:style>
  <w:style w:type="character" w:customStyle="1" w:styleId="19">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54337AC-9781-40DA-A75C-46046AEC579E}">
  <ds:schemaRefs/>
</ds:datastoreItem>
</file>

<file path=customXml/itemProps11.xml><?xml version="1.0" encoding="utf-8"?>
<ds:datastoreItem xmlns:ds="http://schemas.openxmlformats.org/officeDocument/2006/customXml" ds:itemID="{8206569F-E962-4D1E-A201-0817E985A233}">
  <ds:schemaRefs/>
</ds:datastoreItem>
</file>

<file path=customXml/itemProps12.xml><?xml version="1.0" encoding="utf-8"?>
<ds:datastoreItem xmlns:ds="http://schemas.openxmlformats.org/officeDocument/2006/customXml" ds:itemID="{8FBFFED0-F122-49C9-B461-C0CE51DBD157}">
  <ds:schemaRefs/>
</ds:datastoreItem>
</file>

<file path=customXml/itemProps13.xml><?xml version="1.0" encoding="utf-8"?>
<ds:datastoreItem xmlns:ds="http://schemas.openxmlformats.org/officeDocument/2006/customXml" ds:itemID="{B9680AB9-522C-4983-9AA0-CA147F74267B}">
  <ds:schemaRefs/>
</ds:datastoreItem>
</file>

<file path=customXml/itemProps14.xml><?xml version="1.0" encoding="utf-8"?>
<ds:datastoreItem xmlns:ds="http://schemas.openxmlformats.org/officeDocument/2006/customXml" ds:itemID="{9BCB56DC-8435-469C-A6A1-3605362C77DE}">
  <ds:schemaRefs/>
</ds:datastoreItem>
</file>

<file path=customXml/itemProps15.xml><?xml version="1.0" encoding="utf-8"?>
<ds:datastoreItem xmlns:ds="http://schemas.openxmlformats.org/officeDocument/2006/customXml" ds:itemID="{5BE47B2F-8FB4-48F9-8B54-0BE8FD12E3E4}">
  <ds:schemaRefs/>
</ds:datastoreItem>
</file>

<file path=customXml/itemProps16.xml><?xml version="1.0" encoding="utf-8"?>
<ds:datastoreItem xmlns:ds="http://schemas.openxmlformats.org/officeDocument/2006/customXml" ds:itemID="{FBE68F2E-D188-497C-A752-70A6E6B59AD5}">
  <ds:schemaRefs/>
</ds:datastoreItem>
</file>

<file path=customXml/itemProps17.xml><?xml version="1.0" encoding="utf-8"?>
<ds:datastoreItem xmlns:ds="http://schemas.openxmlformats.org/officeDocument/2006/customXml" ds:itemID="{7C6571AE-B85B-4A18-824B-9BDA12DFE971}">
  <ds:schemaRefs/>
</ds:datastoreItem>
</file>

<file path=customXml/itemProps18.xml><?xml version="1.0" encoding="utf-8"?>
<ds:datastoreItem xmlns:ds="http://schemas.openxmlformats.org/officeDocument/2006/customXml" ds:itemID="{187F379A-E2FB-4BAC-8367-03C6C7379698}">
  <ds:schemaRefs/>
</ds:datastoreItem>
</file>

<file path=customXml/itemProps19.xml><?xml version="1.0" encoding="utf-8"?>
<ds:datastoreItem xmlns:ds="http://schemas.openxmlformats.org/officeDocument/2006/customXml" ds:itemID="{981E1444-814B-4E93-8A29-8F4B9E4807DF}">
  <ds:schemaRefs/>
</ds:datastoreItem>
</file>

<file path=customXml/itemProps2.xml><?xml version="1.0" encoding="utf-8"?>
<ds:datastoreItem xmlns:ds="http://schemas.openxmlformats.org/officeDocument/2006/customXml" ds:itemID="{E57B1D60-6A46-47AB-9AF4-0B270F40EDA9}">
  <ds:schemaRefs/>
</ds:datastoreItem>
</file>

<file path=customXml/itemProps20.xml><?xml version="1.0" encoding="utf-8"?>
<ds:datastoreItem xmlns:ds="http://schemas.openxmlformats.org/officeDocument/2006/customXml" ds:itemID="{B7A57624-BE18-44AB-9152-E276A9AB52B3}">
  <ds:schemaRefs/>
</ds:datastoreItem>
</file>

<file path=customXml/itemProps21.xml><?xml version="1.0" encoding="utf-8"?>
<ds:datastoreItem xmlns:ds="http://schemas.openxmlformats.org/officeDocument/2006/customXml" ds:itemID="{13C7577F-7E92-4741-9C8C-6123AD9E5F49}">
  <ds:schemaRefs/>
</ds:datastoreItem>
</file>

<file path=customXml/itemProps22.xml><?xml version="1.0" encoding="utf-8"?>
<ds:datastoreItem xmlns:ds="http://schemas.openxmlformats.org/officeDocument/2006/customXml" ds:itemID="{A3A55031-5341-4D72-ACFB-EFC9FF743732}">
  <ds:schemaRefs/>
</ds:datastoreItem>
</file>

<file path=customXml/itemProps23.xml><?xml version="1.0" encoding="utf-8"?>
<ds:datastoreItem xmlns:ds="http://schemas.openxmlformats.org/officeDocument/2006/customXml" ds:itemID="{4CDC6DFA-9EEC-42DE-93F1-79087E6F228F}">
  <ds:schemaRefs/>
</ds:datastoreItem>
</file>

<file path=customXml/itemProps24.xml><?xml version="1.0" encoding="utf-8"?>
<ds:datastoreItem xmlns:ds="http://schemas.openxmlformats.org/officeDocument/2006/customXml" ds:itemID="{4021656E-1F78-4A9D-90DA-78680924253B}">
  <ds:schemaRefs/>
</ds:datastoreItem>
</file>

<file path=customXml/itemProps25.xml><?xml version="1.0" encoding="utf-8"?>
<ds:datastoreItem xmlns:ds="http://schemas.openxmlformats.org/officeDocument/2006/customXml" ds:itemID="{2969F103-6469-427D-9E7C-48B15B849016}">
  <ds:schemaRefs/>
</ds:datastoreItem>
</file>

<file path=customXml/itemProps26.xml><?xml version="1.0" encoding="utf-8"?>
<ds:datastoreItem xmlns:ds="http://schemas.openxmlformats.org/officeDocument/2006/customXml" ds:itemID="{6EB566D2-0D72-42B4-8122-8096B435D358}">
  <ds:schemaRefs/>
</ds:datastoreItem>
</file>

<file path=customXml/itemProps27.xml><?xml version="1.0" encoding="utf-8"?>
<ds:datastoreItem xmlns:ds="http://schemas.openxmlformats.org/officeDocument/2006/customXml" ds:itemID="{C4964274-216B-45C7-937A-B812075C9E4B}">
  <ds:schemaRefs/>
</ds:datastoreItem>
</file>

<file path=customXml/itemProps28.xml><?xml version="1.0" encoding="utf-8"?>
<ds:datastoreItem xmlns:ds="http://schemas.openxmlformats.org/officeDocument/2006/customXml" ds:itemID="{0CD86E04-9FC2-4761-8B48-CB6A42160EF6}">
  <ds:schemaRefs/>
</ds:datastoreItem>
</file>

<file path=customXml/itemProps29.xml><?xml version="1.0" encoding="utf-8"?>
<ds:datastoreItem xmlns:ds="http://schemas.openxmlformats.org/officeDocument/2006/customXml" ds:itemID="{A1C134D9-A6CA-438D-840A-B897F3812F8C}">
  <ds:schemaRefs/>
</ds:datastoreItem>
</file>

<file path=customXml/itemProps3.xml><?xml version="1.0" encoding="utf-8"?>
<ds:datastoreItem xmlns:ds="http://schemas.openxmlformats.org/officeDocument/2006/customXml" ds:itemID="{35FD6A24-002B-4DD6-AA74-BE8D24A55F92}">
  <ds:schemaRefs/>
</ds:datastoreItem>
</file>

<file path=customXml/itemProps30.xml><?xml version="1.0" encoding="utf-8"?>
<ds:datastoreItem xmlns:ds="http://schemas.openxmlformats.org/officeDocument/2006/customXml" ds:itemID="{A3FEA759-3AE8-4AAF-8DD8-01B74B100BE5}">
  <ds:schemaRefs/>
</ds:datastoreItem>
</file>

<file path=customXml/itemProps31.xml><?xml version="1.0" encoding="utf-8"?>
<ds:datastoreItem xmlns:ds="http://schemas.openxmlformats.org/officeDocument/2006/customXml" ds:itemID="{4EC25EAA-49FA-4694-9C3D-85534AB4411A}">
  <ds:schemaRefs/>
</ds:datastoreItem>
</file>

<file path=customXml/itemProps32.xml><?xml version="1.0" encoding="utf-8"?>
<ds:datastoreItem xmlns:ds="http://schemas.openxmlformats.org/officeDocument/2006/customXml" ds:itemID="{ADB8BF64-023D-487F-84F5-CE59E6EFDE3E}">
  <ds:schemaRefs/>
</ds:datastoreItem>
</file>

<file path=customXml/itemProps33.xml><?xml version="1.0" encoding="utf-8"?>
<ds:datastoreItem xmlns:ds="http://schemas.openxmlformats.org/officeDocument/2006/customXml" ds:itemID="{A40B2ED1-466B-4F54-B0E1-25F34E0F2B4B}">
  <ds:schemaRefs/>
</ds:datastoreItem>
</file>

<file path=customXml/itemProps34.xml><?xml version="1.0" encoding="utf-8"?>
<ds:datastoreItem xmlns:ds="http://schemas.openxmlformats.org/officeDocument/2006/customXml" ds:itemID="{C503A8D5-C8A8-4715-B257-15DE940D2A7E}">
  <ds:schemaRefs/>
</ds:datastoreItem>
</file>

<file path=customXml/itemProps35.xml><?xml version="1.0" encoding="utf-8"?>
<ds:datastoreItem xmlns:ds="http://schemas.openxmlformats.org/officeDocument/2006/customXml" ds:itemID="{B5D99338-060B-492F-B489-95F040E1172F}">
  <ds:schemaRefs/>
</ds:datastoreItem>
</file>

<file path=customXml/itemProps36.xml><?xml version="1.0" encoding="utf-8"?>
<ds:datastoreItem xmlns:ds="http://schemas.openxmlformats.org/officeDocument/2006/customXml" ds:itemID="{60CEA813-EA63-4D48-9051-E37FF1426267}">
  <ds:schemaRefs/>
</ds:datastoreItem>
</file>

<file path=customXml/itemProps37.xml><?xml version="1.0" encoding="utf-8"?>
<ds:datastoreItem xmlns:ds="http://schemas.openxmlformats.org/officeDocument/2006/customXml" ds:itemID="{02B91314-A3D3-4953-AADA-4DC68B88A894}">
  <ds:schemaRefs/>
</ds:datastoreItem>
</file>

<file path=customXml/itemProps38.xml><?xml version="1.0" encoding="utf-8"?>
<ds:datastoreItem xmlns:ds="http://schemas.openxmlformats.org/officeDocument/2006/customXml" ds:itemID="{74A4F21E-9342-4B9E-8904-B16DAEC877A0}">
  <ds:schemaRefs/>
</ds:datastoreItem>
</file>

<file path=customXml/itemProps39.xml><?xml version="1.0" encoding="utf-8"?>
<ds:datastoreItem xmlns:ds="http://schemas.openxmlformats.org/officeDocument/2006/customXml" ds:itemID="{2BF7A221-C810-4C1B-99CE-3B69855DAED0}">
  <ds:schemaRefs/>
</ds:datastoreItem>
</file>

<file path=customXml/itemProps4.xml><?xml version="1.0" encoding="utf-8"?>
<ds:datastoreItem xmlns:ds="http://schemas.openxmlformats.org/officeDocument/2006/customXml" ds:itemID="{1E6F3A73-9F8D-4AE8-A5BD-3EC0CC4920D1}">
  <ds:schemaRefs/>
</ds:datastoreItem>
</file>

<file path=customXml/itemProps40.xml><?xml version="1.0" encoding="utf-8"?>
<ds:datastoreItem xmlns:ds="http://schemas.openxmlformats.org/officeDocument/2006/customXml" ds:itemID="{E16EBA09-7433-402D-8720-31038B7A6EC9}">
  <ds:schemaRefs/>
</ds:datastoreItem>
</file>

<file path=customXml/itemProps41.xml><?xml version="1.0" encoding="utf-8"?>
<ds:datastoreItem xmlns:ds="http://schemas.openxmlformats.org/officeDocument/2006/customXml" ds:itemID="{049E9820-C1D6-4C34-8ED0-D1684588593C}">
  <ds:schemaRefs/>
</ds:datastoreItem>
</file>

<file path=customXml/itemProps42.xml><?xml version="1.0" encoding="utf-8"?>
<ds:datastoreItem xmlns:ds="http://schemas.openxmlformats.org/officeDocument/2006/customXml" ds:itemID="{DAA34F62-E434-4E41-8462-E94774310334}">
  <ds:schemaRefs/>
</ds:datastoreItem>
</file>

<file path=customXml/itemProps43.xml><?xml version="1.0" encoding="utf-8"?>
<ds:datastoreItem xmlns:ds="http://schemas.openxmlformats.org/officeDocument/2006/customXml" ds:itemID="{6918592C-5355-495E-812D-EF1C49655C82}">
  <ds:schemaRefs/>
</ds:datastoreItem>
</file>

<file path=customXml/itemProps44.xml><?xml version="1.0" encoding="utf-8"?>
<ds:datastoreItem xmlns:ds="http://schemas.openxmlformats.org/officeDocument/2006/customXml" ds:itemID="{0CC52FC6-3B28-4A79-802B-D3F09C8A7BE7}">
  <ds:schemaRefs/>
</ds:datastoreItem>
</file>

<file path=customXml/itemProps45.xml><?xml version="1.0" encoding="utf-8"?>
<ds:datastoreItem xmlns:ds="http://schemas.openxmlformats.org/officeDocument/2006/customXml" ds:itemID="{668EFF57-8453-478A-B58D-88743DB995F5}">
  <ds:schemaRefs/>
</ds:datastoreItem>
</file>

<file path=customXml/itemProps46.xml><?xml version="1.0" encoding="utf-8"?>
<ds:datastoreItem xmlns:ds="http://schemas.openxmlformats.org/officeDocument/2006/customXml" ds:itemID="{EE398F03-DFC8-45B6-BF0E-45BC42FE657F}">
  <ds:schemaRefs/>
</ds:datastoreItem>
</file>

<file path=customXml/itemProps47.xml><?xml version="1.0" encoding="utf-8"?>
<ds:datastoreItem xmlns:ds="http://schemas.openxmlformats.org/officeDocument/2006/customXml" ds:itemID="{6CA34ADF-6E0F-4160-A614-FD3F5E0A87BE}">
  <ds:schemaRefs/>
</ds:datastoreItem>
</file>

<file path=customXml/itemProps48.xml><?xml version="1.0" encoding="utf-8"?>
<ds:datastoreItem xmlns:ds="http://schemas.openxmlformats.org/officeDocument/2006/customXml" ds:itemID="{F24FC65B-E044-4AD8-9365-E0A15EAD34DE}">
  <ds:schemaRefs/>
</ds:datastoreItem>
</file>

<file path=customXml/itemProps49.xml><?xml version="1.0" encoding="utf-8"?>
<ds:datastoreItem xmlns:ds="http://schemas.openxmlformats.org/officeDocument/2006/customXml" ds:itemID="{62E2A660-FB8E-4229-B30A-F8C92A45323D}">
  <ds:schemaRefs/>
</ds:datastoreItem>
</file>

<file path=customXml/itemProps5.xml><?xml version="1.0" encoding="utf-8"?>
<ds:datastoreItem xmlns:ds="http://schemas.openxmlformats.org/officeDocument/2006/customXml" ds:itemID="{3831AABA-132B-48E0-B637-74B290305354}">
  <ds:schemaRefs/>
</ds:datastoreItem>
</file>

<file path=customXml/itemProps50.xml><?xml version="1.0" encoding="utf-8"?>
<ds:datastoreItem xmlns:ds="http://schemas.openxmlformats.org/officeDocument/2006/customXml" ds:itemID="{F5723F4D-9056-4F0A-BB9D-F5279CA29F69}">
  <ds:schemaRefs/>
</ds:datastoreItem>
</file>

<file path=customXml/itemProps51.xml><?xml version="1.0" encoding="utf-8"?>
<ds:datastoreItem xmlns:ds="http://schemas.openxmlformats.org/officeDocument/2006/customXml" ds:itemID="{2BDE3C57-8B8B-46B3-A13E-3C84271E2515}">
  <ds:schemaRefs/>
</ds:datastoreItem>
</file>

<file path=customXml/itemProps52.xml><?xml version="1.0" encoding="utf-8"?>
<ds:datastoreItem xmlns:ds="http://schemas.openxmlformats.org/officeDocument/2006/customXml" ds:itemID="{D400D43C-E491-4639-AFB8-633BCC7E1190}">
  <ds:schemaRefs/>
</ds:datastoreItem>
</file>

<file path=customXml/itemProps53.xml><?xml version="1.0" encoding="utf-8"?>
<ds:datastoreItem xmlns:ds="http://schemas.openxmlformats.org/officeDocument/2006/customXml" ds:itemID="{E627FF6E-3933-4FC6-94D6-016523BABD1D}">
  <ds:schemaRefs/>
</ds:datastoreItem>
</file>

<file path=customXml/itemProps54.xml><?xml version="1.0" encoding="utf-8"?>
<ds:datastoreItem xmlns:ds="http://schemas.openxmlformats.org/officeDocument/2006/customXml" ds:itemID="{8C81D0AF-049E-473B-A5D7-B289DF7B1770}">
  <ds:schemaRefs/>
</ds:datastoreItem>
</file>

<file path=customXml/itemProps55.xml><?xml version="1.0" encoding="utf-8"?>
<ds:datastoreItem xmlns:ds="http://schemas.openxmlformats.org/officeDocument/2006/customXml" ds:itemID="{5C786171-C7A1-48AB-958C-3DA291CC3A75}">
  <ds:schemaRefs/>
</ds:datastoreItem>
</file>

<file path=customXml/itemProps56.xml><?xml version="1.0" encoding="utf-8"?>
<ds:datastoreItem xmlns:ds="http://schemas.openxmlformats.org/officeDocument/2006/customXml" ds:itemID="{1648A709-7E8E-42A2-82D2-6E13BBB2A830}">
  <ds:schemaRefs/>
</ds:datastoreItem>
</file>

<file path=customXml/itemProps57.xml><?xml version="1.0" encoding="utf-8"?>
<ds:datastoreItem xmlns:ds="http://schemas.openxmlformats.org/officeDocument/2006/customXml" ds:itemID="{592D51D8-1D7C-4617-9C4E-532050A88BAC}">
  <ds:schemaRefs/>
</ds:datastoreItem>
</file>

<file path=customXml/itemProps58.xml><?xml version="1.0" encoding="utf-8"?>
<ds:datastoreItem xmlns:ds="http://schemas.openxmlformats.org/officeDocument/2006/customXml" ds:itemID="{5FC774E5-A72E-4032-9FD1-949B4641EC3C}">
  <ds:schemaRefs/>
</ds:datastoreItem>
</file>

<file path=customXml/itemProps59.xml><?xml version="1.0" encoding="utf-8"?>
<ds:datastoreItem xmlns:ds="http://schemas.openxmlformats.org/officeDocument/2006/customXml" ds:itemID="{C4A4F2EF-D6E4-4539-BCB1-FAF93F67D6A5}">
  <ds:schemaRefs/>
</ds:datastoreItem>
</file>

<file path=customXml/itemProps6.xml><?xml version="1.0" encoding="utf-8"?>
<ds:datastoreItem xmlns:ds="http://schemas.openxmlformats.org/officeDocument/2006/customXml" ds:itemID="{2B54F626-7CEA-4758-919E-F2CC58D5BFF3}">
  <ds:schemaRefs/>
</ds:datastoreItem>
</file>

<file path=customXml/itemProps7.xml><?xml version="1.0" encoding="utf-8"?>
<ds:datastoreItem xmlns:ds="http://schemas.openxmlformats.org/officeDocument/2006/customXml" ds:itemID="{573FE0A3-3663-4F74-A156-0D1D09A7A257}">
  <ds:schemaRefs/>
</ds:datastoreItem>
</file>

<file path=customXml/itemProps8.xml><?xml version="1.0" encoding="utf-8"?>
<ds:datastoreItem xmlns:ds="http://schemas.openxmlformats.org/officeDocument/2006/customXml" ds:itemID="{8725F28A-A573-436B-98B5-34557E147AB6}">
  <ds:schemaRefs/>
</ds:datastoreItem>
</file>

<file path=customXml/itemProps9.xml><?xml version="1.0" encoding="utf-8"?>
<ds:datastoreItem xmlns:ds="http://schemas.openxmlformats.org/officeDocument/2006/customXml" ds:itemID="{70340B64-CA1C-4131-A214-725F3F972ADE}">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2581</Words>
  <Characters>14716</Characters>
  <Lines>122</Lines>
  <Paragraphs>34</Paragraphs>
  <TotalTime>15</TotalTime>
  <ScaleCrop>false</ScaleCrop>
  <LinksUpToDate>false</LinksUpToDate>
  <CharactersWithSpaces>17263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2025-01-15T14:47:00Z</dcterms:created>
  <dc:creator>hp</dc:creator>
  <cp:lastModifiedBy>天津市工业和信息化局</cp:lastModifiedBy>
  <dcterms:modified xsi:type="dcterms:W3CDTF">2025-02-20T10:21:15Z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