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828FE">
      <w:pPr>
        <w:spacing w:line="56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黑体" w:hAnsi="黑体" w:eastAsia="黑体" w:cs="黑体"/>
          <w:bCs/>
          <w:sz w:val="32"/>
          <w:szCs w:val="32"/>
        </w:rPr>
        <w:t>津工信财〔</w:t>
      </w:r>
      <w:r>
        <w:rPr>
          <w:rFonts w:ascii="Times New Roman" w:hAnsi="Times New Roman" w:eastAsia="黑体"/>
          <w:bCs/>
          <w:sz w:val="32"/>
          <w:szCs w:val="32"/>
        </w:rPr>
        <w:t>202</w:t>
      </w:r>
      <w:r>
        <w:rPr>
          <w:rFonts w:hint="eastAsia" w:ascii="Times New Roman" w:hAnsi="Times New Roman" w:eastAsia="黑体"/>
          <w:bCs/>
          <w:sz w:val="32"/>
          <w:szCs w:val="32"/>
        </w:rPr>
        <w:t>5</w:t>
      </w:r>
      <w:r>
        <w:rPr>
          <w:rFonts w:ascii="黑体" w:hAnsi="黑体" w:eastAsia="黑体" w:cs="黑体"/>
          <w:bCs/>
          <w:sz w:val="32"/>
          <w:szCs w:val="32"/>
        </w:rPr>
        <w:t>〕</w:t>
      </w:r>
      <w:r>
        <w:rPr>
          <w:rFonts w:ascii="Times New Roman" w:hAnsi="Times New Roman" w:eastAsia="黑体"/>
          <w:bCs/>
          <w:sz w:val="32"/>
          <w:szCs w:val="32"/>
        </w:rPr>
        <w:t>15</w:t>
      </w:r>
      <w:r>
        <w:rPr>
          <w:rFonts w:ascii="黑体" w:hAnsi="黑体" w:eastAsia="黑体" w:cs="黑体"/>
          <w:bCs/>
          <w:sz w:val="32"/>
          <w:szCs w:val="32"/>
        </w:rPr>
        <w:t>号</w:t>
      </w: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6</w:t>
      </w:r>
    </w:p>
    <w:p w14:paraId="497BBB99">
      <w:pPr>
        <w:pStyle w:val="15"/>
        <w:ind w:firstLine="0" w:firstLineChars="0"/>
        <w:rPr>
          <w:rFonts w:ascii="Times New Roman" w:hAnsi="Times New Roman" w:eastAsia="方正小标宋简体"/>
          <w:sz w:val="44"/>
          <w:szCs w:val="44"/>
          <w:lang w:bidi="zh-CN"/>
        </w:rPr>
      </w:pPr>
    </w:p>
    <w:p w14:paraId="74DF9A27">
      <w:pPr>
        <w:pStyle w:val="15"/>
        <w:ind w:firstLine="0" w:firstLineChars="0"/>
        <w:jc w:val="center"/>
        <w:rPr>
          <w:rFonts w:eastAsia="方正小标宋简体"/>
          <w:sz w:val="44"/>
          <w:szCs w:val="44"/>
          <w:lang w:bidi="zh-CN"/>
        </w:rPr>
      </w:pPr>
      <w:r>
        <w:rPr>
          <w:rFonts w:eastAsia="方正小标宋简体"/>
          <w:sz w:val="44"/>
          <w:szCs w:val="52"/>
        </w:rPr>
        <w:t>天津市制造业</w:t>
      </w:r>
      <w:r>
        <w:rPr>
          <w:rFonts w:hint="eastAsia" w:eastAsia="方正小标宋简体"/>
          <w:sz w:val="44"/>
          <w:szCs w:val="52"/>
        </w:rPr>
        <w:t>高质量发展专项</w:t>
      </w:r>
      <w:r>
        <w:rPr>
          <w:rFonts w:hint="eastAsia" w:eastAsia="方正小标宋简体"/>
          <w:sz w:val="44"/>
          <w:szCs w:val="44"/>
          <w:lang w:bidi="zh-CN"/>
        </w:rPr>
        <w:t>支持应用</w:t>
      </w:r>
    </w:p>
    <w:p w14:paraId="07B3DE67">
      <w:pPr>
        <w:pStyle w:val="15"/>
        <w:ind w:firstLine="0" w:firstLineChars="0"/>
        <w:jc w:val="center"/>
        <w:rPr>
          <w:rFonts w:hint="default" w:eastAsia="方正小标宋简体"/>
          <w:sz w:val="44"/>
          <w:szCs w:val="52"/>
          <w:lang w:val="en-US"/>
        </w:rPr>
      </w:pPr>
      <w:r>
        <w:rPr>
          <w:rFonts w:hint="eastAsia" w:eastAsia="方正小标宋简体"/>
          <w:sz w:val="44"/>
          <w:szCs w:val="44"/>
          <w:lang w:bidi="zh-CN"/>
        </w:rPr>
        <w:t>场景建设（人工智能方向）</w:t>
      </w:r>
      <w:r>
        <w:rPr>
          <w:rFonts w:hint="eastAsia" w:eastAsia="方正小标宋简体"/>
          <w:sz w:val="44"/>
          <w:szCs w:val="44"/>
          <w:lang w:val="en-US" w:bidi="zh-CN"/>
        </w:rPr>
        <w:t>项目验收材料</w:t>
      </w:r>
      <w:bookmarkStart w:id="0" w:name="_GoBack"/>
      <w:bookmarkEnd w:id="0"/>
    </w:p>
    <w:p w14:paraId="1CAC52AF">
      <w:pPr>
        <w:pStyle w:val="15"/>
        <w:ind w:firstLine="640"/>
        <w:rPr>
          <w:rFonts w:ascii="仿宋_GB2312"/>
          <w:color w:val="000000"/>
          <w:lang w:bidi="zh-CN"/>
        </w:rPr>
      </w:pPr>
    </w:p>
    <w:p w14:paraId="19ECB33B">
      <w:pPr>
        <w:pStyle w:val="15"/>
        <w:ind w:firstLine="640"/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</w:pPr>
      <w:r>
        <w:rPr>
          <w:rFonts w:hint="eastAsia" w:ascii="仿宋_GB2312"/>
          <w:color w:val="000000"/>
          <w:lang w:bidi="zh-CN"/>
        </w:rPr>
        <w:t>除通知正文要求的验收材料外，还应提供以下验收材料：</w:t>
      </w:r>
    </w:p>
    <w:p w14:paraId="28A4A5FE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一、项目验收总结报告</w:t>
      </w:r>
    </w:p>
    <w:p w14:paraId="4F80C6A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（一）项目总体进展情况。</w:t>
      </w:r>
      <w:r>
        <w:rPr>
          <w:rFonts w:hint="eastAsia" w:ascii="仿宋_GB2312" w:eastAsia="仿宋_GB2312"/>
          <w:sz w:val="32"/>
          <w:szCs w:val="32"/>
        </w:rPr>
        <w:t>说明项目立项背景和依据、项目的实施期限和地点、项目建设</w:t>
      </w:r>
      <w:r>
        <w:rPr>
          <w:rFonts w:hint="eastAsia" w:eastAsia="仿宋_GB2312"/>
          <w:sz w:val="32"/>
          <w:szCs w:val="32"/>
        </w:rPr>
        <w:t>目标、任务和考核指标</w:t>
      </w:r>
      <w:r>
        <w:rPr>
          <w:rFonts w:hint="eastAsia" w:ascii="仿宋_GB2312" w:eastAsia="仿宋_GB2312"/>
          <w:sz w:val="32"/>
          <w:szCs w:val="32"/>
        </w:rPr>
        <w:t>及建设内容，简要总结项目完成情况。</w:t>
      </w:r>
    </w:p>
    <w:p w14:paraId="1A51FC8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项目执行情况。项目建设过程中开展的</w:t>
      </w:r>
      <w:r>
        <w:rPr>
          <w:rFonts w:hint="eastAsia" w:eastAsia="仿宋_GB2312"/>
          <w:sz w:val="32"/>
          <w:szCs w:val="32"/>
        </w:rPr>
        <w:t>总体设计，仪器设备购置、系统集成、平台搭建、应用推广及用户服务等相关</w:t>
      </w:r>
      <w:r>
        <w:rPr>
          <w:rFonts w:hint="eastAsia" w:ascii="仿宋_GB2312" w:eastAsia="仿宋_GB2312"/>
          <w:sz w:val="32"/>
          <w:szCs w:val="32"/>
        </w:rPr>
        <w:t>情况。</w:t>
      </w:r>
    </w:p>
    <w:p w14:paraId="5651137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</w:rPr>
        <w:t>项目投资情况。项目资金预算和实际支出情况，财政资金投入及使用情况。</w:t>
      </w:r>
    </w:p>
    <w:p w14:paraId="7F65A3C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（四）项目指标完成情况。对照任务书的总体目标、建设内容和各项考核指标，总结项目达到的工作、技术、经济等指标完成情况。</w:t>
      </w:r>
    </w:p>
    <w:p w14:paraId="794A30A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（五）取得成效情况。平台技术创新服务的企事业数量和终端数量；可公开、共享、交换的信息及其效益；推动平台可持续运行的有效运作模式；直接和间接经济效益；推动行业发展的支撑作用等。</w:t>
      </w:r>
    </w:p>
    <w:p w14:paraId="2E38C18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</w:t>
      </w:r>
      <w:r>
        <w:rPr>
          <w:rFonts w:hint="eastAsia" w:ascii="仿宋_GB2312" w:eastAsia="仿宋_GB2312"/>
          <w:sz w:val="32"/>
          <w:szCs w:val="32"/>
        </w:rPr>
        <w:t>存在问题和前景预测。</w:t>
      </w:r>
    </w:p>
    <w:p w14:paraId="5265D3BA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证实性</w:t>
      </w: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材料</w:t>
      </w:r>
    </w:p>
    <w:p w14:paraId="2778656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</w:t>
      </w:r>
      <w:r>
        <w:rPr>
          <w:rFonts w:ascii="Times New Roman" w:hAnsi="Times New Roman" w:eastAsia="仿宋_GB2312"/>
          <w:sz w:val="32"/>
          <w:szCs w:val="32"/>
        </w:rPr>
        <w:t>根据项目实际情况和绩效目标，提供相关支撑材料，包括</w:t>
      </w:r>
      <w:r>
        <w:rPr>
          <w:rFonts w:hint="eastAsia" w:ascii="Times New Roman" w:hAnsi="Times New Roman" w:eastAsia="仿宋_GB2312"/>
          <w:sz w:val="32"/>
          <w:szCs w:val="32"/>
        </w:rPr>
        <w:t>任务</w:t>
      </w:r>
      <w:r>
        <w:rPr>
          <w:rFonts w:ascii="Times New Roman" w:hAnsi="Times New Roman" w:eastAsia="仿宋_GB2312"/>
          <w:sz w:val="32"/>
          <w:szCs w:val="32"/>
        </w:rPr>
        <w:t>书绩效</w:t>
      </w:r>
      <w:r>
        <w:rPr>
          <w:rFonts w:hint="eastAsia" w:ascii="Times New Roman" w:hAnsi="Times New Roman" w:eastAsia="仿宋_GB2312"/>
          <w:sz w:val="32"/>
          <w:szCs w:val="32"/>
        </w:rPr>
        <w:t>指标</w:t>
      </w:r>
      <w:r>
        <w:rPr>
          <w:rFonts w:ascii="Times New Roman" w:hAnsi="Times New Roman" w:eastAsia="仿宋_GB2312"/>
          <w:sz w:val="32"/>
          <w:szCs w:val="32"/>
        </w:rPr>
        <w:t>对应的建设实物、系统等证明材料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平台对外服务的合同报告、用户应用报告，平台建设各项考核指标的第三方测评报告或相关证明材料。</w:t>
      </w:r>
    </w:p>
    <w:p w14:paraId="50D8052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项目取得的成果证明，包括</w:t>
      </w:r>
      <w:r>
        <w:rPr>
          <w:rFonts w:hint="eastAsia" w:ascii="仿宋_GB2312" w:eastAsia="仿宋_GB2312"/>
          <w:sz w:val="32"/>
          <w:szCs w:val="32"/>
        </w:rPr>
        <w:t>专利证书、论文、标准等相关材料；</w:t>
      </w:r>
    </w:p>
    <w:p w14:paraId="0A4A7AFE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（三）投资及经济效益证明，包括合同、发票等相关材料。</w:t>
      </w:r>
    </w:p>
    <w:p w14:paraId="3AB9008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</w:rPr>
        <w:t>便于专家全面了解项目情况的其它证明材料。</w:t>
      </w:r>
    </w:p>
    <w:p w14:paraId="2C55C6C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DE922E9">
      <w:pPr>
        <w:spacing w:line="560" w:lineRule="exact"/>
        <w:ind w:left="1600" w:hanging="1600" w:hangingChars="500"/>
        <w:rPr>
          <w:rFonts w:ascii="仿宋_GB2312" w:eastAsia="仿宋_GB2312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市工业和信息化局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工业数字化转型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处</w:t>
      </w:r>
      <w:r>
        <w:rPr>
          <w:rFonts w:ascii="Times New Roman" w:hAnsi="Times New Roman" w:eastAsia="仿宋_GB2312"/>
          <w:color w:val="000000"/>
          <w:sz w:val="32"/>
          <w:szCs w:val="32"/>
        </w:rPr>
        <w:t>　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聂德雷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，联系电话：836080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34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p w14:paraId="23ED43CD">
      <w:pPr>
        <w:pStyle w:val="2"/>
        <w:spacing w:after="0" w:line="560" w:lineRule="exact"/>
        <w:rPr>
          <w:rFonts w:eastAsia="仿宋_GB2312"/>
          <w:color w:val="000000"/>
          <w:kern w:val="0"/>
          <w:sz w:val="32"/>
          <w:szCs w:val="32"/>
        </w:rPr>
      </w:pPr>
    </w:p>
    <w:p w14:paraId="604ECC63">
      <w:pPr>
        <w:pStyle w:val="2"/>
        <w:spacing w:after="0" w:line="560" w:lineRule="exact"/>
        <w:rPr>
          <w:rFonts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3C9707-1F33-4BB3-BF06-7769B0629F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B60D467-6153-4882-9EE6-26D9423A41BE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071A282-C981-4648-BC1E-899A55E0020B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1FB30">
    <w:pPr>
      <w:pStyle w:val="6"/>
      <w:framePr w:w="1310" w:h="567" w:hRule="exact" w:wrap="around" w:vAnchor="page" w:hAnchor="margin" w:xAlign="outside" w:y="15140"/>
      <w:spacing w:line="280" w:lineRule="exact"/>
      <w:jc w:val="center"/>
      <w:rPr>
        <w:rStyle w:val="11"/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663E1F9A"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NjgyY2NhZDNjNWFjNWFkMjBmOTJkNjA0ODc3N2Y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B1BA2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93A5E"/>
    <w:rsid w:val="001A49B5"/>
    <w:rsid w:val="001B4F55"/>
    <w:rsid w:val="001C2600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C5011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2B18"/>
    <w:rsid w:val="00787925"/>
    <w:rsid w:val="007A354F"/>
    <w:rsid w:val="007B42D2"/>
    <w:rsid w:val="007C0149"/>
    <w:rsid w:val="00807835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42C67"/>
    <w:rsid w:val="0095374E"/>
    <w:rsid w:val="0099214A"/>
    <w:rsid w:val="009A5F1B"/>
    <w:rsid w:val="009F14B6"/>
    <w:rsid w:val="009F4827"/>
    <w:rsid w:val="00A42EE0"/>
    <w:rsid w:val="00A47676"/>
    <w:rsid w:val="00A71C2B"/>
    <w:rsid w:val="00A85E41"/>
    <w:rsid w:val="00A870B1"/>
    <w:rsid w:val="00AA2AF4"/>
    <w:rsid w:val="00AA35D9"/>
    <w:rsid w:val="00AD0D16"/>
    <w:rsid w:val="00AE18A2"/>
    <w:rsid w:val="00AF46D5"/>
    <w:rsid w:val="00B01EC4"/>
    <w:rsid w:val="00B03020"/>
    <w:rsid w:val="00B1402B"/>
    <w:rsid w:val="00B544AF"/>
    <w:rsid w:val="00B86167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22B2C0A"/>
    <w:rsid w:val="03EA2F88"/>
    <w:rsid w:val="0C4639F6"/>
    <w:rsid w:val="11895257"/>
    <w:rsid w:val="13D6569B"/>
    <w:rsid w:val="1727345B"/>
    <w:rsid w:val="1790784B"/>
    <w:rsid w:val="1C495440"/>
    <w:rsid w:val="1D796312"/>
    <w:rsid w:val="1D9B563F"/>
    <w:rsid w:val="200D4C3C"/>
    <w:rsid w:val="250B19C5"/>
    <w:rsid w:val="29F80D74"/>
    <w:rsid w:val="30371E93"/>
    <w:rsid w:val="319D518F"/>
    <w:rsid w:val="323E1695"/>
    <w:rsid w:val="353978DB"/>
    <w:rsid w:val="358C027B"/>
    <w:rsid w:val="38A16170"/>
    <w:rsid w:val="3DA90D56"/>
    <w:rsid w:val="3FAA18A3"/>
    <w:rsid w:val="416C5E78"/>
    <w:rsid w:val="4703462D"/>
    <w:rsid w:val="49CA27D9"/>
    <w:rsid w:val="4C103A7B"/>
    <w:rsid w:val="4C266084"/>
    <w:rsid w:val="51035853"/>
    <w:rsid w:val="520A4D37"/>
    <w:rsid w:val="5F70143F"/>
    <w:rsid w:val="61C14BD4"/>
    <w:rsid w:val="644A2A60"/>
    <w:rsid w:val="64E91C69"/>
    <w:rsid w:val="682378AA"/>
    <w:rsid w:val="784E05EA"/>
    <w:rsid w:val="792C3C49"/>
    <w:rsid w:val="79304557"/>
    <w:rsid w:val="796E1F5F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paragraph" w:styleId="4">
    <w:name w:val="Body Text Indent"/>
    <w:basedOn w:val="1"/>
    <w:qFormat/>
    <w:uiPriority w:val="0"/>
    <w:pPr>
      <w:adjustRightInd w:val="0"/>
      <w:snapToGrid w:val="0"/>
      <w:ind w:firstLine="480" w:firstLineChars="200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autoRedefine/>
    <w:qFormat/>
    <w:uiPriority w:val="0"/>
  </w:style>
  <w:style w:type="character" w:customStyle="1" w:styleId="12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4">
    <w:name w:val="正文文本 字符"/>
    <w:link w:val="2"/>
    <w:qFormat/>
    <w:uiPriority w:val="0"/>
    <w:rPr>
      <w:kern w:val="2"/>
      <w:sz w:val="21"/>
    </w:rPr>
  </w:style>
  <w:style w:type="paragraph" w:customStyle="1" w:styleId="15">
    <w:name w:val="正文-工信委"/>
    <w:basedOn w:val="1"/>
    <w:autoRedefine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7FEB-46FA-48C8-B626-8166C0E425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xxb</Company>
  <Pages>2</Pages>
  <Words>614</Words>
  <Characters>625</Characters>
  <Lines>4</Lines>
  <Paragraphs>1</Paragraphs>
  <TotalTime>2</TotalTime>
  <ScaleCrop>false</ScaleCrop>
  <LinksUpToDate>false</LinksUpToDate>
  <CharactersWithSpaces>626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2021-05-06T04:41:00Z</dcterms:created>
  <dc:creator>xxb</dc:creator>
  <cp:lastModifiedBy>15122053668</cp:lastModifiedBy>
  <cp:lastPrinted>2022-07-30T10:04:00Z</cp:lastPrinted>
  <dcterms:modified xsi:type="dcterms:W3CDTF">2025-12-30T09:55:58Z</dcterms:modified>
  <dc:title>天津信息港工程项目专家论证意见</dc:title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CCBFE0437B8E4649A4875F921566B093_13</vt:lpwstr>
  </property>
  <property fmtid="{D5CDD505-2E9C-101B-9397-08002B2CF9AE}" pid="4" name="KSOTemplateDocerSaveRecord">
    <vt:lpwstr>eyJoZGlkIjoiMjVhMjc3MmIyNWU2OWNjNzdmNThiNDc3NjljZmNjNWIiLCJ1c2VySWQiOiI5NTIxNTMzMzEifQ==</vt:lpwstr>
  </property>
</Properties>
</file>