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35866">
      <w:pPr>
        <w:spacing w:after="0" w:line="560" w:lineRule="exact"/>
        <w:rPr>
          <w:rFonts w:hint="eastAsia" w:ascii="Times New Roman" w:hAnsi="Times New Roman" w:eastAsia="黑体"/>
          <w:bCs/>
          <w:sz w:val="32"/>
          <w:szCs w:val="32"/>
        </w:rPr>
      </w:pPr>
      <w:r>
        <w:rPr>
          <w:rFonts w:ascii="黑体" w:hAnsi="黑体" w:eastAsia="黑体" w:cs="黑体"/>
          <w:bCs/>
          <w:sz w:val="32"/>
          <w:szCs w:val="32"/>
        </w:rPr>
        <w:t>津工信财〔</w:t>
      </w:r>
      <w:r>
        <w:rPr>
          <w:rFonts w:ascii="Times New Roman" w:hAnsi="Times New Roman" w:eastAsia="黑体"/>
          <w:bCs/>
          <w:sz w:val="32"/>
          <w:szCs w:val="32"/>
        </w:rPr>
        <w:t>202</w:t>
      </w:r>
      <w:r>
        <w:rPr>
          <w:rFonts w:hint="eastAsia" w:ascii="Times New Roman" w:hAnsi="Times New Roman" w:eastAsia="黑体"/>
          <w:bCs/>
          <w:sz w:val="32"/>
          <w:szCs w:val="32"/>
        </w:rPr>
        <w:t>5</w:t>
      </w:r>
      <w:r>
        <w:rPr>
          <w:rFonts w:ascii="黑体" w:hAnsi="黑体" w:eastAsia="黑体" w:cs="黑体"/>
          <w:bCs/>
          <w:sz w:val="32"/>
          <w:szCs w:val="32"/>
        </w:rPr>
        <w:t>〕</w:t>
      </w:r>
      <w:r>
        <w:rPr>
          <w:rFonts w:hint="eastAsia" w:ascii="Times New Roman" w:hAnsi="Times New Roman" w:eastAsia="黑体"/>
          <w:bCs/>
          <w:sz w:val="32"/>
          <w:szCs w:val="32"/>
        </w:rPr>
        <w:t>15</w:t>
      </w:r>
      <w:r>
        <w:rPr>
          <w:rFonts w:ascii="黑体" w:hAnsi="黑体" w:eastAsia="黑体" w:cs="黑体"/>
          <w:bCs/>
          <w:sz w:val="32"/>
          <w:szCs w:val="32"/>
        </w:rPr>
        <w:t>号</w:t>
      </w:r>
      <w:r>
        <w:rPr>
          <w:rFonts w:hint="eastAsia" w:ascii="黑体" w:hAnsi="黑体" w:eastAsia="黑体" w:cs="黑体"/>
          <w:bCs/>
          <w:sz w:val="32"/>
          <w:szCs w:val="32"/>
        </w:rPr>
        <w:t>附件</w:t>
      </w:r>
      <w:r>
        <w:rPr>
          <w:rFonts w:hint="eastAsia" w:ascii="Times New Roman" w:hAnsi="Times New Roman" w:eastAsia="黑体"/>
          <w:bCs/>
          <w:sz w:val="32"/>
          <w:szCs w:val="32"/>
        </w:rPr>
        <w:t>16</w:t>
      </w:r>
    </w:p>
    <w:p w14:paraId="5B931A71">
      <w:pPr>
        <w:pStyle w:val="15"/>
        <w:spacing w:after="0"/>
        <w:ind w:firstLine="0" w:firstLineChars="0"/>
        <w:rPr>
          <w:rFonts w:ascii="Times New Roman" w:hAnsi="Times New Roman" w:eastAsia="方正小标宋简体"/>
          <w:sz w:val="44"/>
          <w:szCs w:val="44"/>
          <w:lang w:bidi="zh-CN"/>
        </w:rPr>
      </w:pPr>
    </w:p>
    <w:p w14:paraId="356A55A4">
      <w:pPr>
        <w:pStyle w:val="15"/>
        <w:spacing w:after="0"/>
        <w:ind w:firstLine="0" w:firstLineChars="0"/>
        <w:jc w:val="center"/>
        <w:rPr>
          <w:rFonts w:ascii="Times New Roman" w:hAnsi="Times New Roman" w:eastAsia="方正小标宋简体"/>
          <w:sz w:val="44"/>
          <w:szCs w:val="44"/>
          <w:lang w:bidi="zh-CN"/>
        </w:rPr>
      </w:pPr>
      <w:r>
        <w:rPr>
          <w:rFonts w:ascii="Times New Roman" w:hAnsi="Times New Roman" w:eastAsia="方正小标宋简体"/>
          <w:color w:val="000000"/>
          <w:sz w:val="44"/>
          <w:szCs w:val="44"/>
          <w:lang w:bidi="zh-CN"/>
        </w:rPr>
        <w:t>天津市</w:t>
      </w:r>
      <w:r>
        <w:rPr>
          <w:rFonts w:hint="eastAsia" w:ascii="Times New Roman" w:hAnsi="Times New Roman" w:eastAsia="方正小标宋简体"/>
          <w:color w:val="000000"/>
          <w:sz w:val="44"/>
          <w:szCs w:val="44"/>
          <w:lang w:bidi="zh-CN"/>
        </w:rPr>
        <w:t>制造业高质量发展</w:t>
      </w:r>
      <w:r>
        <w:rPr>
          <w:rFonts w:ascii="Times New Roman" w:hAnsi="Times New Roman" w:eastAsia="方正小标宋简体"/>
          <w:color w:val="000000"/>
          <w:sz w:val="44"/>
          <w:szCs w:val="44"/>
          <w:lang w:bidi="zh-CN"/>
        </w:rPr>
        <w:t>专项</w:t>
      </w:r>
    </w:p>
    <w:p w14:paraId="4B644055">
      <w:pPr>
        <w:pStyle w:val="15"/>
        <w:spacing w:after="0"/>
        <w:ind w:firstLine="0" w:firstLineChars="0"/>
        <w:jc w:val="center"/>
        <w:rPr>
          <w:rFonts w:ascii="Times New Roman" w:hAnsi="Times New Roman" w:eastAsia="方正小标宋简体"/>
          <w:color w:val="000000"/>
          <w:sz w:val="44"/>
          <w:szCs w:val="44"/>
          <w:lang w:bidi="zh-CN"/>
        </w:rPr>
      </w:pPr>
      <w:r>
        <w:rPr>
          <w:rFonts w:ascii="Times New Roman" w:hAnsi="Times New Roman" w:eastAsia="方正小标宋简体"/>
          <w:sz w:val="44"/>
          <w:szCs w:val="44"/>
          <w:lang w:bidi="zh-CN"/>
        </w:rPr>
        <w:t>支持</w:t>
      </w:r>
      <w:r>
        <w:rPr>
          <w:rFonts w:eastAsia="方正小标宋简体"/>
          <w:sz w:val="44"/>
          <w:szCs w:val="44"/>
          <w:lang w:bidi="zh-CN"/>
        </w:rPr>
        <w:t>卡点技术攻关</w:t>
      </w:r>
      <w:r>
        <w:rPr>
          <w:rFonts w:ascii="Times New Roman" w:hAnsi="Times New Roman" w:eastAsia="方正小标宋简体"/>
          <w:color w:val="000000"/>
          <w:spacing w:val="-20"/>
          <w:sz w:val="44"/>
          <w:szCs w:val="44"/>
          <w:lang w:bidi="zh-CN"/>
        </w:rPr>
        <w:t>项目验收材料</w:t>
      </w:r>
      <w:bookmarkStart w:id="0" w:name="_GoBack"/>
      <w:bookmarkEnd w:id="0"/>
    </w:p>
    <w:p w14:paraId="6004C8DB">
      <w:pPr>
        <w:pStyle w:val="15"/>
        <w:spacing w:after="0"/>
        <w:ind w:firstLine="640"/>
        <w:rPr>
          <w:rFonts w:ascii="仿宋_GB2312"/>
          <w:color w:val="000000"/>
          <w:lang w:bidi="zh-CN"/>
        </w:rPr>
      </w:pPr>
    </w:p>
    <w:p w14:paraId="329A5A71">
      <w:pPr>
        <w:pStyle w:val="15"/>
        <w:spacing w:after="0"/>
        <w:ind w:firstLine="640"/>
        <w:rPr>
          <w:rFonts w:ascii="Times New Roman" w:hAnsi="Times New Roman" w:eastAsia="方正小标宋简体"/>
          <w:color w:val="000000"/>
          <w:sz w:val="44"/>
          <w:szCs w:val="44"/>
          <w:lang w:bidi="zh-CN"/>
        </w:rPr>
      </w:pPr>
      <w:r>
        <w:rPr>
          <w:rFonts w:hint="eastAsia" w:ascii="仿宋_GB2312"/>
          <w:color w:val="000000"/>
          <w:lang w:bidi="zh-CN"/>
        </w:rPr>
        <w:t>除通知正文要求的验收材料外，还应提供以下验收材料：</w:t>
      </w:r>
    </w:p>
    <w:p w14:paraId="668C7591">
      <w:pPr>
        <w:spacing w:after="0" w:line="560" w:lineRule="exact"/>
        <w:ind w:firstLine="640" w:firstLineChars="200"/>
        <w:rPr>
          <w:rFonts w:ascii="Times New Roman" w:hAnsi="Times New Roman" w:eastAsia="黑体"/>
          <w:color w:val="000000"/>
          <w:kern w:val="0"/>
          <w:sz w:val="32"/>
          <w:szCs w:val="32"/>
        </w:rPr>
      </w:pPr>
      <w:r>
        <w:rPr>
          <w:rFonts w:ascii="Times New Roman" w:hAnsi="Times New Roman" w:eastAsia="黑体"/>
          <w:color w:val="000000"/>
          <w:kern w:val="0"/>
          <w:sz w:val="32"/>
          <w:szCs w:val="32"/>
        </w:rPr>
        <w:t>一、项目</w:t>
      </w:r>
      <w:r>
        <w:rPr>
          <w:rFonts w:hint="eastAsia" w:ascii="Times New Roman" w:hAnsi="Times New Roman" w:eastAsia="黑体"/>
          <w:color w:val="000000"/>
          <w:kern w:val="0"/>
          <w:sz w:val="32"/>
          <w:szCs w:val="32"/>
        </w:rPr>
        <w:t>工作</w:t>
      </w:r>
      <w:r>
        <w:rPr>
          <w:rFonts w:ascii="Times New Roman" w:hAnsi="Times New Roman" w:eastAsia="黑体"/>
          <w:color w:val="000000"/>
          <w:kern w:val="0"/>
          <w:sz w:val="32"/>
          <w:szCs w:val="32"/>
        </w:rPr>
        <w:t>报告</w:t>
      </w:r>
    </w:p>
    <w:p w14:paraId="358737AF">
      <w:pPr>
        <w:pStyle w:val="15"/>
        <w:spacing w:after="0"/>
        <w:ind w:firstLine="640"/>
        <w:rPr>
          <w:rFonts w:ascii="仿宋_GB2312"/>
          <w:color w:val="000000"/>
          <w:lang w:bidi="zh-CN"/>
        </w:rPr>
      </w:pPr>
      <w:r>
        <w:rPr>
          <w:rFonts w:hint="eastAsia" w:ascii="仿宋_GB2312"/>
          <w:color w:val="000000"/>
          <w:lang w:bidi="zh-CN"/>
        </w:rPr>
        <w:t>（一）项目总体进展情况。说明项目立项背景和必要性、项目的实施期限和地点、项目建设目标、任务和考核指标及建设内容等。对照项目下达时的目标任务，简要总结完成情况。</w:t>
      </w:r>
    </w:p>
    <w:p w14:paraId="1F6FFFA8">
      <w:pPr>
        <w:pStyle w:val="15"/>
        <w:spacing w:after="0"/>
        <w:ind w:firstLine="640"/>
        <w:rPr>
          <w:rFonts w:ascii="仿宋_GB2312"/>
          <w:color w:val="000000"/>
          <w:lang w:bidi="zh-CN"/>
        </w:rPr>
      </w:pPr>
      <w:r>
        <w:rPr>
          <w:rFonts w:hint="eastAsia" w:ascii="仿宋_GB2312"/>
          <w:color w:val="000000"/>
          <w:lang w:bidi="zh-CN"/>
        </w:rPr>
        <w:t>（二）项目执行情况。包括项目组织实施情况，项目建设内容中</w:t>
      </w:r>
      <w:r>
        <w:rPr>
          <w:rFonts w:hint="eastAsia"/>
        </w:rPr>
        <w:t>用于研究开发、实验验证、设计仿真、工程试验等</w:t>
      </w:r>
      <w:r>
        <w:t>技术开发仪器、测试设备、小试设备及</w:t>
      </w:r>
      <w:r>
        <w:rPr>
          <w:rFonts w:hint="eastAsia"/>
        </w:rPr>
        <w:t>设计</w:t>
      </w:r>
      <w:r>
        <w:t>开发软件</w:t>
      </w:r>
      <w:r>
        <w:rPr>
          <w:rFonts w:hint="eastAsia" w:ascii="仿宋_GB2312"/>
          <w:color w:val="000000"/>
          <w:lang w:bidi="zh-CN"/>
        </w:rPr>
        <w:t>购置情况。</w:t>
      </w:r>
    </w:p>
    <w:p w14:paraId="26AF83A9">
      <w:pPr>
        <w:pStyle w:val="15"/>
        <w:spacing w:after="0"/>
        <w:ind w:firstLine="640"/>
        <w:rPr>
          <w:rFonts w:ascii="仿宋_GB2312"/>
          <w:color w:val="000000"/>
          <w:lang w:bidi="zh-CN"/>
        </w:rPr>
      </w:pPr>
      <w:r>
        <w:rPr>
          <w:rFonts w:hint="eastAsia" w:ascii="仿宋_GB2312"/>
          <w:color w:val="000000"/>
          <w:lang w:bidi="zh-CN"/>
        </w:rPr>
        <w:t>（三）项目经费到位与使用情况。项目资金预算和实际支出情况，财政资金投入及使用情况。</w:t>
      </w:r>
    </w:p>
    <w:p w14:paraId="365AA3A4">
      <w:pPr>
        <w:pStyle w:val="15"/>
        <w:spacing w:after="0"/>
        <w:ind w:firstLine="640"/>
        <w:rPr>
          <w:rFonts w:cs="仿宋_GB2312"/>
          <w:lang w:bidi="ar"/>
        </w:rPr>
      </w:pPr>
      <w:r>
        <w:rPr>
          <w:rFonts w:hint="eastAsia" w:ascii="仿宋_GB2312"/>
          <w:color w:val="000000"/>
          <w:lang w:bidi="zh-CN"/>
        </w:rPr>
        <w:t>（四）项目指标完成情况。对照项目任务书的总体目标、建设内容和各项考核指标</w:t>
      </w:r>
      <w:r>
        <w:rPr>
          <w:rFonts w:hint="eastAsia" w:cs="仿宋_GB2312"/>
          <w:lang w:bidi="ar"/>
        </w:rPr>
        <w:t>，</w:t>
      </w:r>
      <w:r>
        <w:rPr>
          <w:rFonts w:hint="eastAsia" w:ascii="仿宋_GB2312"/>
          <w:color w:val="000000"/>
          <w:lang w:bidi="zh-CN"/>
        </w:rPr>
        <w:t>说明</w:t>
      </w:r>
      <w:r>
        <w:rPr>
          <w:rFonts w:ascii="Times New Roman" w:hAnsi="Times New Roman"/>
        </w:rPr>
        <w:t>项目完成</w:t>
      </w:r>
      <w:r>
        <w:rPr>
          <w:rFonts w:hint="eastAsia" w:ascii="Times New Roman" w:hAnsi="Times New Roman"/>
        </w:rPr>
        <w:t>后实现的主要成果及产业化情况，分析卡点技术突破后的总体水平及项目建设对企业和产业发展起到的推动作用。</w:t>
      </w:r>
      <w:r>
        <w:rPr>
          <w:rFonts w:hint="eastAsia" w:cs="仿宋_GB2312"/>
          <w:lang w:bidi="ar"/>
        </w:rPr>
        <w:t>总结项目绩效等指标完成情况。</w:t>
      </w:r>
    </w:p>
    <w:p w14:paraId="4E449BBA">
      <w:pPr>
        <w:pStyle w:val="15"/>
        <w:spacing w:after="0"/>
        <w:ind w:firstLine="640"/>
        <w:rPr>
          <w:rFonts w:ascii="仿宋_GB2312"/>
          <w:color w:val="000000"/>
          <w:lang w:bidi="zh-CN"/>
        </w:rPr>
      </w:pPr>
      <w:r>
        <w:rPr>
          <w:rFonts w:hint="eastAsia" w:cs="仿宋_GB2312"/>
          <w:lang w:bidi="ar"/>
        </w:rPr>
        <w:t>（五）取得成效情况。项目完成后实现的经济效益、社会效益等</w:t>
      </w:r>
      <w:r>
        <w:rPr>
          <w:rFonts w:hint="eastAsia" w:ascii="Times New Roman" w:hAnsi="Times New Roman"/>
        </w:rPr>
        <w:t>。</w:t>
      </w:r>
    </w:p>
    <w:p w14:paraId="3916FD8C">
      <w:pPr>
        <w:spacing w:after="0" w:line="560" w:lineRule="exact"/>
        <w:ind w:firstLine="640" w:firstLineChars="200"/>
        <w:rPr>
          <w:rFonts w:ascii="Times New Roman" w:hAnsi="Times New Roman" w:eastAsia="黑体"/>
          <w:color w:val="000000"/>
          <w:kern w:val="0"/>
          <w:sz w:val="32"/>
          <w:szCs w:val="32"/>
        </w:rPr>
      </w:pPr>
      <w:r>
        <w:rPr>
          <w:rFonts w:hint="eastAsia" w:eastAsia="仿宋_GB2312"/>
          <w:sz w:val="32"/>
          <w:szCs w:val="32"/>
        </w:rPr>
        <w:t>（六）</w:t>
      </w:r>
      <w:r>
        <w:rPr>
          <w:rFonts w:hint="eastAsia" w:ascii="仿宋_GB2312" w:eastAsia="仿宋_GB2312"/>
          <w:sz w:val="32"/>
          <w:szCs w:val="32"/>
        </w:rPr>
        <w:t>存在的主要问题与建议。</w:t>
      </w:r>
    </w:p>
    <w:p w14:paraId="4209A892">
      <w:pPr>
        <w:spacing w:after="0" w:line="560" w:lineRule="exact"/>
        <w:ind w:firstLine="640" w:firstLineChars="200"/>
        <w:rPr>
          <w:rFonts w:ascii="Times New Roman" w:hAnsi="Times New Roman" w:eastAsia="黑体"/>
          <w:color w:val="000000"/>
          <w:kern w:val="0"/>
          <w:sz w:val="32"/>
          <w:szCs w:val="32"/>
        </w:rPr>
      </w:pPr>
      <w:r>
        <w:rPr>
          <w:rFonts w:ascii="Times New Roman" w:hAnsi="Times New Roman" w:eastAsia="黑体"/>
          <w:color w:val="000000"/>
          <w:kern w:val="0"/>
          <w:sz w:val="32"/>
          <w:szCs w:val="32"/>
        </w:rPr>
        <w:t>二、</w:t>
      </w:r>
      <w:r>
        <w:rPr>
          <w:rFonts w:hint="eastAsia" w:ascii="Times New Roman" w:hAnsi="Times New Roman" w:eastAsia="黑体"/>
          <w:color w:val="000000"/>
          <w:kern w:val="0"/>
          <w:sz w:val="32"/>
          <w:szCs w:val="32"/>
        </w:rPr>
        <w:t>证实性</w:t>
      </w:r>
      <w:r>
        <w:rPr>
          <w:rFonts w:ascii="Times New Roman" w:hAnsi="Times New Roman" w:eastAsia="黑体"/>
          <w:color w:val="000000"/>
          <w:kern w:val="0"/>
          <w:sz w:val="32"/>
          <w:szCs w:val="32"/>
        </w:rPr>
        <w:t>材料</w:t>
      </w:r>
    </w:p>
    <w:p w14:paraId="0794B22C">
      <w:pPr>
        <w:spacing w:after="0" w:line="560" w:lineRule="exact"/>
        <w:ind w:firstLine="640" w:firstLineChars="200"/>
        <w:rPr>
          <w:rFonts w:ascii="Times New Roman" w:hAnsi="Times New Roman" w:eastAsia="仿宋_GB2312"/>
          <w:color w:val="000000"/>
          <w:kern w:val="0"/>
          <w:sz w:val="32"/>
          <w:szCs w:val="32"/>
        </w:rPr>
      </w:pPr>
      <w:r>
        <w:rPr>
          <w:rFonts w:hint="eastAsia" w:eastAsia="仿宋_GB2312"/>
          <w:sz w:val="32"/>
          <w:szCs w:val="32"/>
        </w:rPr>
        <w:t>（一）</w:t>
      </w:r>
      <w:r>
        <w:rPr>
          <w:rFonts w:hint="eastAsia" w:ascii="Times New Roman" w:hAnsi="Times New Roman" w:eastAsia="仿宋_GB2312"/>
          <w:color w:val="000000"/>
          <w:kern w:val="0"/>
          <w:sz w:val="32"/>
          <w:szCs w:val="32"/>
        </w:rPr>
        <w:t>项目投资及经济效益证明，包括新购置仪器设备、产生经济效益相关合同、发票、审计报告等材料。</w:t>
      </w:r>
    </w:p>
    <w:p w14:paraId="6E84003F">
      <w:pPr>
        <w:spacing w:after="0" w:line="560" w:lineRule="exact"/>
        <w:ind w:firstLine="640" w:firstLineChars="200"/>
        <w:rPr>
          <w:rFonts w:eastAsia="仿宋_GB2312"/>
          <w:sz w:val="32"/>
          <w:szCs w:val="32"/>
        </w:rPr>
      </w:pPr>
      <w:r>
        <w:rPr>
          <w:rFonts w:hint="eastAsia" w:eastAsia="仿宋_GB2312"/>
          <w:sz w:val="32"/>
          <w:szCs w:val="32"/>
        </w:rPr>
        <w:t>（二）项目取得的成果证明，</w:t>
      </w:r>
      <w:r>
        <w:rPr>
          <w:rFonts w:hint="eastAsia" w:ascii="Times New Roman" w:hAnsi="Times New Roman" w:eastAsia="仿宋_GB2312"/>
          <w:color w:val="000000"/>
          <w:kern w:val="0"/>
          <w:sz w:val="32"/>
          <w:szCs w:val="32"/>
        </w:rPr>
        <w:t>包括但不限于申报及获取知识产权以及突破卡点技术产品的相关技术参数第三方测试或检测报告（用户使用报告或验证完成报告）等材料。</w:t>
      </w:r>
    </w:p>
    <w:p w14:paraId="590A6EEA">
      <w:pPr>
        <w:spacing w:after="0" w:line="560" w:lineRule="exact"/>
        <w:ind w:firstLine="640" w:firstLineChars="200"/>
        <w:rPr>
          <w:rFonts w:eastAsia="仿宋_GB2312"/>
          <w:color w:val="000000"/>
          <w:kern w:val="0"/>
          <w:sz w:val="32"/>
          <w:szCs w:val="32"/>
        </w:rPr>
      </w:pPr>
      <w:r>
        <w:rPr>
          <w:rFonts w:hint="eastAsia" w:ascii="Times New Roman" w:hAnsi="Times New Roman" w:eastAsia="仿宋_GB2312"/>
          <w:color w:val="000000"/>
          <w:kern w:val="0"/>
          <w:sz w:val="32"/>
          <w:szCs w:val="32"/>
        </w:rPr>
        <w:t>（三）企业认为必要的</w:t>
      </w:r>
      <w:r>
        <w:rPr>
          <w:rFonts w:hint="eastAsia" w:ascii="仿宋_GB2312" w:eastAsia="仿宋_GB2312"/>
          <w:sz w:val="32"/>
          <w:szCs w:val="32"/>
        </w:rPr>
        <w:t>其它证明材料。</w:t>
      </w:r>
    </w:p>
    <w:p w14:paraId="004DF4EF">
      <w:pPr>
        <w:tabs>
          <w:tab w:val="left" w:pos="2211"/>
        </w:tabs>
        <w:spacing w:after="0" w:line="560" w:lineRule="exact"/>
        <w:rPr>
          <w:rFonts w:eastAsia="仿宋_GB2312"/>
          <w:color w:val="000000"/>
          <w:kern w:val="0"/>
          <w:sz w:val="32"/>
          <w:szCs w:val="32"/>
        </w:rPr>
      </w:pPr>
    </w:p>
    <w:p w14:paraId="49BA13D8">
      <w:pPr>
        <w:tabs>
          <w:tab w:val="left" w:pos="2211"/>
        </w:tabs>
        <w:spacing w:after="0" w:line="560" w:lineRule="exact"/>
        <w:ind w:firstLine="640" w:firstLineChars="200"/>
        <w:rPr>
          <w:rFonts w:eastAsia="仿宋_GB2312"/>
          <w:color w:val="000000"/>
          <w:kern w:val="0"/>
          <w:sz w:val="32"/>
          <w:szCs w:val="32"/>
        </w:rPr>
      </w:pPr>
      <w:r>
        <w:rPr>
          <w:rFonts w:eastAsia="仿宋_GB2312"/>
          <w:color w:val="000000"/>
          <w:kern w:val="0"/>
          <w:sz w:val="32"/>
          <w:szCs w:val="32"/>
        </w:rPr>
        <w:t>（联系人：市工业和信息化局</w:t>
      </w:r>
      <w:r>
        <w:rPr>
          <w:rFonts w:hint="eastAsia" w:eastAsia="仿宋_GB2312"/>
          <w:color w:val="000000"/>
          <w:kern w:val="0"/>
          <w:sz w:val="32"/>
          <w:szCs w:val="32"/>
        </w:rPr>
        <w:t>科技处</w:t>
      </w:r>
      <w:r>
        <w:rPr>
          <w:rFonts w:eastAsia="仿宋_GB2312"/>
          <w:color w:val="000000"/>
          <w:sz w:val="32"/>
          <w:szCs w:val="32"/>
        </w:rPr>
        <w:t>　</w:t>
      </w:r>
      <w:r>
        <w:rPr>
          <w:rFonts w:hint="eastAsia" w:eastAsia="仿宋_GB2312"/>
          <w:color w:val="000000"/>
          <w:kern w:val="0"/>
          <w:sz w:val="32"/>
          <w:szCs w:val="32"/>
        </w:rPr>
        <w:t>廉瑞；</w:t>
      </w:r>
    </w:p>
    <w:p w14:paraId="029826F5">
      <w:pPr>
        <w:tabs>
          <w:tab w:val="left" w:pos="2211"/>
        </w:tabs>
        <w:spacing w:after="0" w:line="560" w:lineRule="exact"/>
        <w:ind w:firstLine="2256" w:firstLineChars="705"/>
        <w:rPr>
          <w:rFonts w:eastAsia="仿宋_GB2312"/>
          <w:color w:val="000000"/>
          <w:kern w:val="0"/>
          <w:sz w:val="32"/>
          <w:szCs w:val="32"/>
        </w:rPr>
      </w:pPr>
      <w:r>
        <w:rPr>
          <w:rFonts w:eastAsia="仿宋_GB2312"/>
          <w:color w:val="000000"/>
          <w:kern w:val="0"/>
          <w:sz w:val="32"/>
          <w:szCs w:val="32"/>
        </w:rPr>
        <w:t>联系电话：</w:t>
      </w:r>
      <w:r>
        <w:rPr>
          <w:rFonts w:ascii="Times New Roman" w:hAnsi="Times New Roman" w:eastAsia="仿宋_GB2312"/>
          <w:color w:val="000000"/>
          <w:kern w:val="0"/>
          <w:sz w:val="32"/>
          <w:szCs w:val="32"/>
        </w:rPr>
        <w:t>8360</w:t>
      </w:r>
      <w:r>
        <w:rPr>
          <w:rFonts w:hint="eastAsia" w:ascii="Times New Roman" w:hAnsi="Times New Roman" w:eastAsia="仿宋_GB2312"/>
          <w:color w:val="000000"/>
          <w:kern w:val="0"/>
          <w:sz w:val="32"/>
          <w:szCs w:val="32"/>
        </w:rPr>
        <w:t>7325</w:t>
      </w:r>
      <w:r>
        <w:rPr>
          <w:rFonts w:eastAsia="仿宋_GB2312"/>
          <w:color w:val="000000"/>
          <w:kern w:val="0"/>
          <w:sz w:val="32"/>
          <w:szCs w:val="32"/>
        </w:rPr>
        <w:t>）</w:t>
      </w:r>
    </w:p>
    <w:sectPr>
      <w:footerReference r:id="rId5" w:type="default"/>
      <w:pgSz w:w="11906" w:h="16838"/>
      <w:pgMar w:top="1440" w:right="1800" w:bottom="1440" w:left="1800"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C36F9B-BFC3-42E2-A7FB-F885EF7F85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8C9A5CA-CFE7-427E-8F97-533F52CB3442}"/>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3" w:fontKey="{7BFC724E-A782-4F71-BAC9-E37F87264D16}"/>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5089">
    <w:pPr>
      <w:pStyle w:val="6"/>
      <w:framePr w:w="1310" w:h="567" w:hRule="exact" w:wrap="around" w:vAnchor="page" w:hAnchor="margin" w:xAlign="outside" w:y="15140"/>
      <w:spacing w:line="280" w:lineRule="exact"/>
      <w:jc w:val="center"/>
      <w:rPr>
        <w:rStyle w:val="11"/>
        <w:rFonts w:hint="eastAsia"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- 5 -</w:t>
    </w:r>
    <w:r>
      <w:rPr>
        <w:rFonts w:ascii="宋体" w:hAnsi="宋体"/>
        <w:sz w:val="28"/>
        <w:szCs w:val="28"/>
      </w:rPr>
      <w:fldChar w:fldCharType="end"/>
    </w:r>
  </w:p>
  <w:p w14:paraId="04F5823F">
    <w:pPr>
      <w:pStyle w:val="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0NjgyY2NhZDNjNWFjNWFkMjBmOTJkNjA0ODc3N2YifQ=="/>
  </w:docVars>
  <w:rsids>
    <w:rsidRoot w:val="00D67F4B"/>
    <w:rsid w:val="00013E8B"/>
    <w:rsid w:val="000159EF"/>
    <w:rsid w:val="00025FCD"/>
    <w:rsid w:val="00054522"/>
    <w:rsid w:val="00083126"/>
    <w:rsid w:val="00083A1C"/>
    <w:rsid w:val="000841A5"/>
    <w:rsid w:val="0009567D"/>
    <w:rsid w:val="000C62FF"/>
    <w:rsid w:val="000D56B5"/>
    <w:rsid w:val="000F2FA9"/>
    <w:rsid w:val="000F6D85"/>
    <w:rsid w:val="00102BB5"/>
    <w:rsid w:val="00135C8C"/>
    <w:rsid w:val="00146486"/>
    <w:rsid w:val="0016451C"/>
    <w:rsid w:val="00174AB5"/>
    <w:rsid w:val="001A49B5"/>
    <w:rsid w:val="001B4F55"/>
    <w:rsid w:val="001D402A"/>
    <w:rsid w:val="001F4275"/>
    <w:rsid w:val="00221A98"/>
    <w:rsid w:val="00221C49"/>
    <w:rsid w:val="00243F6A"/>
    <w:rsid w:val="00260162"/>
    <w:rsid w:val="00265634"/>
    <w:rsid w:val="002B12D5"/>
    <w:rsid w:val="002D2375"/>
    <w:rsid w:val="003070A4"/>
    <w:rsid w:val="00325B6F"/>
    <w:rsid w:val="00355427"/>
    <w:rsid w:val="00357BE9"/>
    <w:rsid w:val="00370B99"/>
    <w:rsid w:val="003A39B8"/>
    <w:rsid w:val="003B3A79"/>
    <w:rsid w:val="003C0DA5"/>
    <w:rsid w:val="003D00B0"/>
    <w:rsid w:val="003E43DE"/>
    <w:rsid w:val="004000E4"/>
    <w:rsid w:val="00413837"/>
    <w:rsid w:val="00421173"/>
    <w:rsid w:val="00480054"/>
    <w:rsid w:val="004B6D9E"/>
    <w:rsid w:val="004D44EF"/>
    <w:rsid w:val="005013CB"/>
    <w:rsid w:val="0050192B"/>
    <w:rsid w:val="00527DBF"/>
    <w:rsid w:val="00533C25"/>
    <w:rsid w:val="005366A8"/>
    <w:rsid w:val="0053786D"/>
    <w:rsid w:val="00542E83"/>
    <w:rsid w:val="005573E8"/>
    <w:rsid w:val="00560A77"/>
    <w:rsid w:val="00576357"/>
    <w:rsid w:val="005860D5"/>
    <w:rsid w:val="005C3AE7"/>
    <w:rsid w:val="005D499B"/>
    <w:rsid w:val="005E2BE2"/>
    <w:rsid w:val="005F705D"/>
    <w:rsid w:val="006354E3"/>
    <w:rsid w:val="00637CCB"/>
    <w:rsid w:val="00651316"/>
    <w:rsid w:val="0066161B"/>
    <w:rsid w:val="00683DEA"/>
    <w:rsid w:val="00684DE0"/>
    <w:rsid w:val="006E41CB"/>
    <w:rsid w:val="006E5AA7"/>
    <w:rsid w:val="006F10FF"/>
    <w:rsid w:val="006F72C2"/>
    <w:rsid w:val="00712822"/>
    <w:rsid w:val="00737DB8"/>
    <w:rsid w:val="007700DD"/>
    <w:rsid w:val="00777AED"/>
    <w:rsid w:val="00787925"/>
    <w:rsid w:val="007A354F"/>
    <w:rsid w:val="007B42D2"/>
    <w:rsid w:val="007C0149"/>
    <w:rsid w:val="008105D1"/>
    <w:rsid w:val="00816755"/>
    <w:rsid w:val="0081703C"/>
    <w:rsid w:val="00852C93"/>
    <w:rsid w:val="00881DDA"/>
    <w:rsid w:val="00887B59"/>
    <w:rsid w:val="008901BF"/>
    <w:rsid w:val="008B0D17"/>
    <w:rsid w:val="008C5211"/>
    <w:rsid w:val="008D3F12"/>
    <w:rsid w:val="008D6842"/>
    <w:rsid w:val="008F152E"/>
    <w:rsid w:val="008F47D8"/>
    <w:rsid w:val="00902EA8"/>
    <w:rsid w:val="00926407"/>
    <w:rsid w:val="00936AFC"/>
    <w:rsid w:val="0095374E"/>
    <w:rsid w:val="0099214A"/>
    <w:rsid w:val="0099580D"/>
    <w:rsid w:val="009F14B6"/>
    <w:rsid w:val="009F4827"/>
    <w:rsid w:val="00A42EE0"/>
    <w:rsid w:val="00A47676"/>
    <w:rsid w:val="00A71C2B"/>
    <w:rsid w:val="00A85E41"/>
    <w:rsid w:val="00A870B1"/>
    <w:rsid w:val="00AA2AF4"/>
    <w:rsid w:val="00AB77B8"/>
    <w:rsid w:val="00AD0D16"/>
    <w:rsid w:val="00AE18A2"/>
    <w:rsid w:val="00AF46D5"/>
    <w:rsid w:val="00B01EC4"/>
    <w:rsid w:val="00B03020"/>
    <w:rsid w:val="00B1402B"/>
    <w:rsid w:val="00B544AF"/>
    <w:rsid w:val="00BA2299"/>
    <w:rsid w:val="00BB22E8"/>
    <w:rsid w:val="00BB6D01"/>
    <w:rsid w:val="00BC5FE8"/>
    <w:rsid w:val="00BF34AB"/>
    <w:rsid w:val="00BF540B"/>
    <w:rsid w:val="00C53FB2"/>
    <w:rsid w:val="00C6244D"/>
    <w:rsid w:val="00C671ED"/>
    <w:rsid w:val="00C71EC2"/>
    <w:rsid w:val="00C823C4"/>
    <w:rsid w:val="00C90D23"/>
    <w:rsid w:val="00C95681"/>
    <w:rsid w:val="00CB12F3"/>
    <w:rsid w:val="00CB18C6"/>
    <w:rsid w:val="00CC3B45"/>
    <w:rsid w:val="00CF332B"/>
    <w:rsid w:val="00D00F7F"/>
    <w:rsid w:val="00D03A74"/>
    <w:rsid w:val="00D1608F"/>
    <w:rsid w:val="00D20B85"/>
    <w:rsid w:val="00D25F08"/>
    <w:rsid w:val="00D47989"/>
    <w:rsid w:val="00D67F4B"/>
    <w:rsid w:val="00D81BC6"/>
    <w:rsid w:val="00D840FF"/>
    <w:rsid w:val="00DA5CF9"/>
    <w:rsid w:val="00DB385B"/>
    <w:rsid w:val="00DC0F64"/>
    <w:rsid w:val="00DC61B3"/>
    <w:rsid w:val="00DE7435"/>
    <w:rsid w:val="00E20DE9"/>
    <w:rsid w:val="00E2351A"/>
    <w:rsid w:val="00E342ED"/>
    <w:rsid w:val="00E60DA3"/>
    <w:rsid w:val="00E6428B"/>
    <w:rsid w:val="00E72AF3"/>
    <w:rsid w:val="00E76CF9"/>
    <w:rsid w:val="00E867DC"/>
    <w:rsid w:val="00EA1E19"/>
    <w:rsid w:val="00EC28F5"/>
    <w:rsid w:val="00EE7039"/>
    <w:rsid w:val="00EE7939"/>
    <w:rsid w:val="00EF4D73"/>
    <w:rsid w:val="00EF78E5"/>
    <w:rsid w:val="00F11803"/>
    <w:rsid w:val="00F12EF5"/>
    <w:rsid w:val="00F16357"/>
    <w:rsid w:val="00F453C9"/>
    <w:rsid w:val="00F915BB"/>
    <w:rsid w:val="00FB238E"/>
    <w:rsid w:val="00FE1630"/>
    <w:rsid w:val="03EA2F88"/>
    <w:rsid w:val="04530FF7"/>
    <w:rsid w:val="0BC22C59"/>
    <w:rsid w:val="0C4639F6"/>
    <w:rsid w:val="11895257"/>
    <w:rsid w:val="163B5FDA"/>
    <w:rsid w:val="1727345B"/>
    <w:rsid w:val="1790784B"/>
    <w:rsid w:val="18C4455C"/>
    <w:rsid w:val="1B0F4758"/>
    <w:rsid w:val="1B7674F1"/>
    <w:rsid w:val="1D8C6691"/>
    <w:rsid w:val="1D9B563F"/>
    <w:rsid w:val="1DD26C36"/>
    <w:rsid w:val="250B19C5"/>
    <w:rsid w:val="2B4D36F0"/>
    <w:rsid w:val="2F491BED"/>
    <w:rsid w:val="2F844EDA"/>
    <w:rsid w:val="30371E93"/>
    <w:rsid w:val="319D518F"/>
    <w:rsid w:val="33430332"/>
    <w:rsid w:val="33FF7DC3"/>
    <w:rsid w:val="36604E11"/>
    <w:rsid w:val="38A16170"/>
    <w:rsid w:val="3F752137"/>
    <w:rsid w:val="44791EC2"/>
    <w:rsid w:val="46CD72C7"/>
    <w:rsid w:val="4703462D"/>
    <w:rsid w:val="49890C81"/>
    <w:rsid w:val="4C103A7B"/>
    <w:rsid w:val="4C266084"/>
    <w:rsid w:val="4E9B2A1B"/>
    <w:rsid w:val="520A4D37"/>
    <w:rsid w:val="522E398B"/>
    <w:rsid w:val="53D407B5"/>
    <w:rsid w:val="55BC2996"/>
    <w:rsid w:val="55C263AD"/>
    <w:rsid w:val="58457D0B"/>
    <w:rsid w:val="58C555F4"/>
    <w:rsid w:val="591F35FE"/>
    <w:rsid w:val="5C594DF3"/>
    <w:rsid w:val="5EBB66EA"/>
    <w:rsid w:val="5F1B0689"/>
    <w:rsid w:val="609969D0"/>
    <w:rsid w:val="64E91C69"/>
    <w:rsid w:val="673B09D0"/>
    <w:rsid w:val="6FD4043F"/>
    <w:rsid w:val="784E05EA"/>
    <w:rsid w:val="792C3C49"/>
    <w:rsid w:val="79304557"/>
    <w:rsid w:val="7EB51DCB"/>
    <w:rsid w:val="7F550230"/>
    <w:rsid w:val="7FE5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14"/>
    <w:qFormat/>
    <w:uiPriority w:val="0"/>
    <w:pPr>
      <w:spacing w:after="120"/>
    </w:pPr>
  </w:style>
  <w:style w:type="paragraph" w:styleId="3">
    <w:name w:val="Title"/>
    <w:basedOn w:val="1"/>
    <w:next w:val="1"/>
    <w:qFormat/>
    <w:uiPriority w:val="0"/>
    <w:pPr>
      <w:jc w:val="center"/>
      <w:outlineLvl w:val="0"/>
    </w:pPr>
    <w:rPr>
      <w:rFonts w:ascii="Cambria" w:hAnsi="Cambria" w:cs="黑体"/>
      <w:b/>
      <w:bCs/>
      <w:sz w:val="32"/>
      <w:szCs w:val="32"/>
    </w:rPr>
  </w:style>
  <w:style w:type="paragraph" w:styleId="4">
    <w:name w:val="Body Text Indent"/>
    <w:basedOn w:val="1"/>
    <w:qFormat/>
    <w:uiPriority w:val="0"/>
    <w:pPr>
      <w:adjustRightInd w:val="0"/>
      <w:snapToGrid w:val="0"/>
      <w:ind w:firstLine="480" w:firstLineChars="200"/>
    </w:pPr>
    <w:rPr>
      <w:rFonts w:ascii="宋体" w:hAnsi="宋体"/>
      <w:sz w:val="24"/>
    </w:rPr>
  </w:style>
  <w:style w:type="paragraph" w:styleId="5">
    <w:name w:val="Plain Text"/>
    <w:basedOn w:val="1"/>
    <w:qFormat/>
    <w:uiPriority w:val="0"/>
    <w:rPr>
      <w:rFonts w:ascii="Courier New" w:hAnsi="Courier New" w:cs="Courier New"/>
      <w:sz w:val="20"/>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customStyle="1" w:styleId="12">
    <w:name w:val="页脚 字符"/>
    <w:link w:val="6"/>
    <w:qFormat/>
    <w:uiPriority w:val="0"/>
    <w:rPr>
      <w:kern w:val="2"/>
      <w:sz w:val="18"/>
      <w:szCs w:val="18"/>
    </w:rPr>
  </w:style>
  <w:style w:type="character" w:customStyle="1" w:styleId="13">
    <w:name w:val="页眉 字符"/>
    <w:link w:val="7"/>
    <w:qFormat/>
    <w:uiPriority w:val="0"/>
    <w:rPr>
      <w:kern w:val="2"/>
      <w:sz w:val="18"/>
      <w:szCs w:val="18"/>
    </w:rPr>
  </w:style>
  <w:style w:type="character" w:customStyle="1" w:styleId="14">
    <w:name w:val="正文文本 字符"/>
    <w:link w:val="2"/>
    <w:qFormat/>
    <w:uiPriority w:val="0"/>
    <w:rPr>
      <w:kern w:val="2"/>
      <w:sz w:val="21"/>
    </w:rPr>
  </w:style>
  <w:style w:type="paragraph" w:customStyle="1" w:styleId="15">
    <w:name w:val="正文-工信委"/>
    <w:basedOn w:val="1"/>
    <w:qFormat/>
    <w:uiPriority w:val="0"/>
    <w:pPr>
      <w:spacing w:line="560" w:lineRule="exact"/>
      <w:ind w:firstLine="200" w:firstLineChars="200"/>
    </w:pPr>
    <w:rPr>
      <w:rFonts w:eastAsia="仿宋_GB2312"/>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57FEB-46FA-48C8-B626-8166C0E42542}">
  <ds:schemaRefs/>
</ds:datastoreItem>
</file>

<file path=docProps/app.xml><?xml version="1.0" encoding="utf-8"?>
<Properties xmlns="http://schemas.openxmlformats.org/officeDocument/2006/extended-properties" xmlns:vt="http://schemas.openxmlformats.org/officeDocument/2006/docPropsVTypes">
  <Template>Normal</Template>
  <Company>xxb</Company>
  <Pages>2</Pages>
  <Words>585</Words>
  <Characters>597</Characters>
  <Lines>4</Lines>
  <Paragraphs>1</Paragraphs>
  <TotalTime>0</TotalTime>
  <ScaleCrop>false</ScaleCrop>
  <LinksUpToDate>false</LinksUpToDate>
  <CharactersWithSpaces>598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2021-05-06T04:41:00Z</dcterms:created>
  <dc:creator>xxb</dc:creator>
  <cp:lastModifiedBy>15122053668</cp:lastModifiedBy>
  <cp:lastPrinted>2022-07-30T10:05:00Z</cp:lastPrinted>
  <dcterms:modified xsi:type="dcterms:W3CDTF">2025-12-30T09:54:57Z</dcterms:modified>
  <dc:title>天津信息港工程项目专家论证意见</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F707C4F62C3143389EFDD35D5BAA1E6C</vt:lpwstr>
  </property>
  <property fmtid="{D5CDD505-2E9C-101B-9397-08002B2CF9AE}" pid="4" name="KSOTemplateDocerSaveRecord">
    <vt:lpwstr>eyJoZGlkIjoiMjVhMjc3MmIyNWU2OWNjNzdmNThiNDc3NjljZmNjNWIiLCJ1c2VySWQiOiI5NTIxNTMzMzEifQ==</vt:lpwstr>
  </property>
</Properties>
</file>