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left" w:pos="1985"/>
          <w:tab w:val="left" w:pos="2127"/>
        </w:tabs>
        <w:spacing w:line="360" w:lineRule="exact"/>
        <w:rPr>
          <w:rFonts w:hint="eastAsia" w:ascii="Times New Roman" w:hAnsi="Times New Roman" w:eastAsia="黑体"/>
          <w:spacing w:val="0"/>
          <w:sz w:val="32"/>
          <w:szCs w:val="32"/>
        </w:rPr>
      </w:pPr>
      <w:r>
        <w:rPr>
          <w:rFonts w:hint="eastAsia" w:ascii="Times New Roman" w:hAnsi="Times New Roman" w:eastAsia="黑体" w:cs="Times New Roman"/>
          <w:sz w:val="32"/>
          <w:szCs w:val="32"/>
          <w:lang w:val="en-US" w:eastAsia="zh-CN"/>
        </w:rPr>
        <w:t>津新能源推广〔2022〕3号</w:t>
      </w:r>
      <w:r>
        <w:rPr>
          <w:rFonts w:hint="eastAsia" w:ascii="Times New Roman" w:hAnsi="Times New Roman" w:eastAsia="黑体"/>
          <w:spacing w:val="0"/>
          <w:sz w:val="32"/>
          <w:szCs w:val="32"/>
        </w:rPr>
        <w:t>附件2</w:t>
      </w:r>
    </w:p>
    <w:p>
      <w:pPr>
        <w:spacing w:line="520" w:lineRule="exact"/>
        <w:rPr>
          <w:rFonts w:hint="eastAsia" w:ascii="Times New Roman" w:hAnsi="Times New Roman" w:eastAsia="黑体"/>
          <w:szCs w:val="32"/>
        </w:rPr>
      </w:pPr>
    </w:p>
    <w:p>
      <w:pPr>
        <w:spacing w:line="600" w:lineRule="exact"/>
        <w:jc w:val="center"/>
        <w:rPr>
          <w:rFonts w:hint="eastAsia" w:ascii="Times New Roman" w:hAnsi="Times New Roman" w:eastAsia="方正小标宋简体"/>
          <w:spacing w:val="0"/>
          <w:sz w:val="44"/>
          <w:szCs w:val="44"/>
        </w:rPr>
      </w:pPr>
      <w:r>
        <w:rPr>
          <w:rFonts w:hint="eastAsia" w:ascii="Times New Roman" w:hAnsi="Times New Roman" w:eastAsia="方正小标宋简体"/>
          <w:spacing w:val="0"/>
          <w:sz w:val="44"/>
          <w:szCs w:val="44"/>
        </w:rPr>
        <w:t>在津推广新能源汽车抽检要求</w:t>
      </w:r>
    </w:p>
    <w:p>
      <w:pPr>
        <w:tabs>
          <w:tab w:val="left" w:pos="2193"/>
        </w:tabs>
        <w:spacing w:line="520" w:lineRule="exact"/>
        <w:jc w:val="center"/>
        <w:rPr>
          <w:rFonts w:ascii="Times New Roman" w:hAnsi="Times New Roman" w:eastAsia="方正小标宋简体" w:cs="方正小标宋简体"/>
          <w:color w:val="000000"/>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Times New Roman" w:hAnsi="Times New Roman" w:eastAsia="黑体" w:cs="黑体"/>
          <w:szCs w:val="30"/>
        </w:rPr>
      </w:pPr>
      <w:r>
        <w:rPr>
          <w:rFonts w:hint="eastAsia" w:ascii="Times New Roman" w:hAnsi="Times New Roman" w:eastAsia="黑体" w:cs="黑体"/>
          <w:szCs w:val="30"/>
        </w:rPr>
        <w:t>一、车型信息抽检</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Times New Roman" w:hAnsi="Times New Roman" w:cs="仿宋_GB2312"/>
          <w:spacing w:val="-6"/>
          <w:sz w:val="32"/>
          <w:szCs w:val="30"/>
        </w:rPr>
      </w:pPr>
      <w:r>
        <w:rPr>
          <w:rFonts w:hint="eastAsia" w:ascii="Times New Roman" w:hAnsi="Times New Roman" w:cs="仿宋_GB2312"/>
          <w:spacing w:val="-6"/>
          <w:sz w:val="32"/>
          <w:szCs w:val="30"/>
        </w:rPr>
        <w:t>1</w:t>
      </w:r>
      <w:r>
        <w:rPr>
          <w:rFonts w:hint="eastAsia" w:cs="仿宋_GB2312"/>
          <w:spacing w:val="-6"/>
          <w:sz w:val="32"/>
          <w:szCs w:val="30"/>
          <w:lang w:val="en-US" w:eastAsia="zh-CN"/>
        </w:rPr>
        <w:t>．</w:t>
      </w:r>
      <w:r>
        <w:rPr>
          <w:rFonts w:hint="eastAsia" w:ascii="Times New Roman" w:hAnsi="Times New Roman" w:cs="仿宋_GB2312"/>
          <w:spacing w:val="-6"/>
          <w:sz w:val="32"/>
          <w:szCs w:val="30"/>
        </w:rPr>
        <w:t>在津推广车辆整车和关键部件应与工信部《道路机动车辆生产企业及产品公告》具备一致性，且与平台信息相符。</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Times New Roman" w:hAnsi="Times New Roman" w:cs="仿宋_GB2312"/>
          <w:spacing w:val="-6"/>
          <w:sz w:val="32"/>
          <w:szCs w:val="30"/>
          <w:highlight w:val="yellow"/>
        </w:rPr>
      </w:pPr>
      <w:r>
        <w:rPr>
          <w:rFonts w:hint="eastAsia" w:ascii="Times New Roman" w:hAnsi="Times New Roman" w:cs="仿宋_GB2312"/>
          <w:spacing w:val="-6"/>
          <w:sz w:val="32"/>
          <w:szCs w:val="30"/>
        </w:rPr>
        <w:t>2</w:t>
      </w:r>
      <w:r>
        <w:rPr>
          <w:rFonts w:hint="eastAsia" w:cs="仿宋_GB2312"/>
          <w:spacing w:val="-6"/>
          <w:sz w:val="32"/>
          <w:szCs w:val="30"/>
          <w:lang w:val="en-US" w:eastAsia="zh-CN"/>
        </w:rPr>
        <w:t>．</w:t>
      </w:r>
      <w:r>
        <w:rPr>
          <w:rFonts w:hint="eastAsia" w:ascii="Times New Roman" w:hAnsi="Times New Roman" w:cs="仿宋_GB2312"/>
          <w:spacing w:val="-6"/>
          <w:sz w:val="32"/>
          <w:szCs w:val="30"/>
        </w:rPr>
        <w:t>对车型</w:t>
      </w:r>
      <w:r>
        <w:rPr>
          <w:rFonts w:hint="eastAsia" w:cs="仿宋_GB2312"/>
          <w:spacing w:val="-6"/>
          <w:sz w:val="32"/>
          <w:szCs w:val="30"/>
          <w:lang w:val="en-US" w:eastAsia="zh-CN"/>
        </w:rPr>
        <w:t>的</w:t>
      </w:r>
      <w:r>
        <w:rPr>
          <w:rFonts w:hint="eastAsia" w:ascii="Times New Roman" w:hAnsi="Times New Roman" w:cs="仿宋_GB2312"/>
          <w:spacing w:val="-6"/>
          <w:sz w:val="32"/>
          <w:szCs w:val="30"/>
        </w:rPr>
        <w:t>定</w:t>
      </w:r>
      <w:r>
        <w:rPr>
          <w:rFonts w:hint="eastAsia" w:cs="仿宋_GB2312"/>
          <w:spacing w:val="-6"/>
          <w:sz w:val="32"/>
          <w:szCs w:val="30"/>
          <w:lang w:val="en-US" w:eastAsia="zh-CN"/>
        </w:rPr>
        <w:t>型</w:t>
      </w:r>
      <w:r>
        <w:rPr>
          <w:rFonts w:hint="eastAsia" w:ascii="Times New Roman" w:hAnsi="Times New Roman" w:cs="仿宋_GB2312"/>
          <w:spacing w:val="-6"/>
          <w:sz w:val="32"/>
          <w:szCs w:val="30"/>
        </w:rPr>
        <w:t>报告</w:t>
      </w:r>
      <w:r>
        <w:rPr>
          <w:rFonts w:hint="eastAsia" w:cs="仿宋_GB2312"/>
          <w:spacing w:val="-6"/>
          <w:sz w:val="32"/>
          <w:szCs w:val="30"/>
          <w:lang w:eastAsia="zh-CN"/>
        </w:rPr>
        <w:t>、《</w:t>
      </w:r>
      <w:r>
        <w:rPr>
          <w:rFonts w:hint="eastAsia" w:ascii="Times New Roman" w:hAnsi="Times New Roman" w:cs="仿宋_GB2312"/>
          <w:spacing w:val="-6"/>
          <w:sz w:val="32"/>
          <w:szCs w:val="30"/>
        </w:rPr>
        <w:t>电动汽车安全要求</w:t>
      </w:r>
      <w:r>
        <w:rPr>
          <w:rFonts w:hint="eastAsia" w:cs="仿宋_GB2312"/>
          <w:spacing w:val="-6"/>
          <w:sz w:val="32"/>
          <w:szCs w:val="30"/>
          <w:lang w:eastAsia="zh-CN"/>
        </w:rPr>
        <w:t>》</w:t>
      </w:r>
      <w:r>
        <w:rPr>
          <w:rFonts w:hint="eastAsia" w:ascii="Times New Roman" w:hAnsi="Times New Roman" w:cs="仿宋_GB2312"/>
          <w:spacing w:val="-6"/>
          <w:sz w:val="32"/>
          <w:szCs w:val="30"/>
        </w:rPr>
        <w:t>（GB 18384-2020）及其引用报告</w:t>
      </w:r>
      <w:r>
        <w:rPr>
          <w:rFonts w:hint="eastAsia" w:cs="仿宋_GB2312"/>
          <w:spacing w:val="-6"/>
          <w:sz w:val="32"/>
          <w:szCs w:val="30"/>
          <w:lang w:eastAsia="zh-CN"/>
        </w:rPr>
        <w:t>、《</w:t>
      </w:r>
      <w:r>
        <w:rPr>
          <w:rFonts w:hint="eastAsia" w:ascii="Times New Roman" w:hAnsi="Times New Roman" w:cs="仿宋_GB2312"/>
          <w:spacing w:val="-6"/>
          <w:sz w:val="32"/>
          <w:szCs w:val="30"/>
        </w:rPr>
        <w:t>电动客车安全技术条件</w:t>
      </w:r>
      <w:r>
        <w:rPr>
          <w:rFonts w:hint="eastAsia" w:cs="仿宋_GB2312"/>
          <w:spacing w:val="-6"/>
          <w:sz w:val="32"/>
          <w:szCs w:val="30"/>
          <w:lang w:eastAsia="zh-CN"/>
        </w:rPr>
        <w:t>》（</w:t>
      </w:r>
      <w:r>
        <w:rPr>
          <w:rFonts w:hint="eastAsia" w:ascii="Times New Roman" w:hAnsi="Times New Roman" w:cs="仿宋_GB2312"/>
          <w:spacing w:val="-6"/>
          <w:sz w:val="32"/>
          <w:szCs w:val="30"/>
        </w:rPr>
        <w:t>GB 38032-2020</w:t>
      </w:r>
      <w:r>
        <w:rPr>
          <w:rFonts w:hint="eastAsia" w:cs="仿宋_GB2312"/>
          <w:spacing w:val="-6"/>
          <w:sz w:val="32"/>
          <w:szCs w:val="30"/>
          <w:lang w:eastAsia="zh-CN"/>
        </w:rPr>
        <w:t>）</w:t>
      </w:r>
      <w:r>
        <w:rPr>
          <w:rFonts w:hint="eastAsia" w:ascii="Times New Roman" w:hAnsi="Times New Roman" w:cs="仿宋_GB2312"/>
          <w:spacing w:val="-6"/>
          <w:sz w:val="32"/>
          <w:szCs w:val="30"/>
        </w:rPr>
        <w:t>及其引用报告</w:t>
      </w:r>
      <w:r>
        <w:rPr>
          <w:rFonts w:hint="eastAsia" w:cs="仿宋_GB2312"/>
          <w:spacing w:val="-6"/>
          <w:sz w:val="32"/>
          <w:szCs w:val="30"/>
          <w:lang w:val="en-US" w:eastAsia="zh-CN"/>
        </w:rPr>
        <w:t>进行</w:t>
      </w:r>
      <w:bookmarkStart w:id="0" w:name="_GoBack"/>
      <w:bookmarkEnd w:id="0"/>
      <w:r>
        <w:rPr>
          <w:rFonts w:hint="eastAsia" w:ascii="Times New Roman" w:hAnsi="Times New Roman" w:cs="仿宋_GB2312"/>
          <w:spacing w:val="-6"/>
          <w:sz w:val="32"/>
          <w:szCs w:val="30"/>
        </w:rPr>
        <w:t>一致性</w:t>
      </w:r>
      <w:r>
        <w:rPr>
          <w:rFonts w:hint="eastAsia" w:cs="仿宋_GB2312"/>
          <w:spacing w:val="-6"/>
          <w:sz w:val="32"/>
          <w:szCs w:val="30"/>
          <w:lang w:val="en-US" w:eastAsia="zh-CN"/>
        </w:rPr>
        <w:t>审查</w:t>
      </w:r>
      <w:r>
        <w:rPr>
          <w:rFonts w:hint="eastAsia" w:ascii="Times New Roman" w:hAnsi="Times New Roman" w:cs="仿宋_GB2312"/>
          <w:spacing w:val="-6"/>
          <w:sz w:val="32"/>
          <w:szCs w:val="30"/>
        </w:rPr>
        <w:t>，如有必要可开展部分项目试验抽检。新能源汽车生产企业应将上述报告在车型申报时上传到“天津市新能源汽车数据中心”。</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0"/>
        <w:rPr>
          <w:rFonts w:ascii="Times New Roman" w:hAnsi="Times New Roman" w:cs="仿宋_GB2312"/>
          <w:spacing w:val="-6"/>
          <w:sz w:val="32"/>
          <w:szCs w:val="30"/>
        </w:rPr>
      </w:pPr>
      <w:r>
        <w:rPr>
          <w:rFonts w:hint="eastAsia" w:ascii="Times New Roman" w:hAnsi="Times New Roman" w:cs="仿宋_GB2312"/>
          <w:spacing w:val="-6"/>
          <w:sz w:val="32"/>
          <w:szCs w:val="30"/>
        </w:rPr>
        <w:t>3</w:t>
      </w:r>
      <w:r>
        <w:rPr>
          <w:rFonts w:hint="eastAsia" w:cs="仿宋_GB2312"/>
          <w:spacing w:val="-6"/>
          <w:sz w:val="32"/>
          <w:szCs w:val="30"/>
          <w:lang w:val="en-US" w:eastAsia="zh-CN"/>
        </w:rPr>
        <w:t>．</w:t>
      </w:r>
      <w:r>
        <w:rPr>
          <w:rFonts w:hint="eastAsia" w:ascii="Times New Roman" w:hAnsi="Times New Roman" w:cs="仿宋_GB2312"/>
          <w:spacing w:val="-6"/>
          <w:sz w:val="32"/>
          <w:szCs w:val="30"/>
        </w:rPr>
        <w:t>配备随车安全操作与应急手册，以及车载安全应急救援设备。</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0"/>
        <w:rPr>
          <w:rFonts w:hint="eastAsia" w:ascii="Times New Roman" w:hAnsi="Times New Roman" w:eastAsia="仿宋_GB2312" w:cs="仿宋_GB2312"/>
          <w:spacing w:val="-6"/>
          <w:sz w:val="32"/>
          <w:szCs w:val="30"/>
          <w:lang w:val="en-US" w:eastAsia="zh-CN"/>
        </w:rPr>
      </w:pPr>
      <w:r>
        <w:rPr>
          <w:rFonts w:hint="eastAsia" w:ascii="Times New Roman" w:hAnsi="Times New Roman" w:cs="仿宋_GB2312"/>
          <w:spacing w:val="-6"/>
          <w:sz w:val="32"/>
          <w:szCs w:val="30"/>
        </w:rPr>
        <w:t>4</w:t>
      </w:r>
      <w:r>
        <w:rPr>
          <w:rFonts w:hint="eastAsia" w:cs="仿宋_GB2312"/>
          <w:spacing w:val="-6"/>
          <w:sz w:val="32"/>
          <w:szCs w:val="30"/>
          <w:lang w:val="en-US" w:eastAsia="zh-CN"/>
        </w:rPr>
        <w:t>．</w:t>
      </w:r>
      <w:r>
        <w:rPr>
          <w:rFonts w:hint="eastAsia" w:ascii="Times New Roman" w:hAnsi="Times New Roman" w:cs="仿宋_GB2312"/>
          <w:spacing w:val="-6"/>
          <w:sz w:val="32"/>
          <w:szCs w:val="30"/>
        </w:rPr>
        <w:t>《新能源汽车推广应用推荐车型目录》影印件和3C证书影印件。新能源汽车生产企业应将影印件在车型申报时上传到</w:t>
      </w:r>
      <w:r>
        <w:rPr>
          <w:rFonts w:hint="cs" w:ascii="Times New Roman" w:hAnsi="Times New Roman" w:cs="仿宋_GB2312"/>
          <w:spacing w:val="-6"/>
          <w:sz w:val="32"/>
          <w:szCs w:val="30"/>
        </w:rPr>
        <w:t>“</w:t>
      </w:r>
      <w:r>
        <w:rPr>
          <w:rFonts w:hint="eastAsia" w:ascii="Times New Roman" w:hAnsi="Times New Roman" w:cs="仿宋_GB2312"/>
          <w:spacing w:val="-6"/>
          <w:sz w:val="32"/>
          <w:szCs w:val="30"/>
        </w:rPr>
        <w:t>天津市新能源汽车数据中心</w:t>
      </w:r>
      <w:r>
        <w:rPr>
          <w:rFonts w:hint="cs" w:ascii="Times New Roman" w:hAnsi="Times New Roman" w:cs="仿宋_GB2312"/>
          <w:spacing w:val="-6"/>
          <w:sz w:val="32"/>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0"/>
        <w:rPr>
          <w:rFonts w:ascii="Times New Roman" w:hAnsi="Times New Roman" w:cs="仿宋_GB2312"/>
          <w:szCs w:val="30"/>
        </w:rPr>
      </w:pPr>
      <w:r>
        <w:rPr>
          <w:rFonts w:hint="eastAsia" w:ascii="Times New Roman" w:hAnsi="Times New Roman" w:eastAsia="黑体" w:cs="黑体"/>
          <w:szCs w:val="30"/>
        </w:rPr>
        <w:t>二、阈值信息抽检</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Times New Roman" w:hAnsi="Times New Roman" w:cs="仿宋_GB2312"/>
          <w:szCs w:val="30"/>
        </w:rPr>
      </w:pPr>
      <w:r>
        <w:rPr>
          <w:rFonts w:hint="eastAsia" w:ascii="Times New Roman" w:hAnsi="Times New Roman" w:cs="仿宋_GB2312"/>
          <w:szCs w:val="30"/>
        </w:rPr>
        <w:t>新能源汽车生产企业应按下表如是填报阈值信息，如有必要将对必</w:t>
      </w:r>
      <w:r>
        <w:rPr>
          <w:rFonts w:hint="eastAsia" w:ascii="Times New Roman" w:hAnsi="Times New Roman" w:cs="仿宋_GB2312"/>
          <w:szCs w:val="30"/>
          <w:lang w:val="en-US" w:eastAsia="zh-CN"/>
        </w:rPr>
        <w:t>填</w:t>
      </w:r>
      <w:r>
        <w:rPr>
          <w:rFonts w:hint="eastAsia" w:ascii="Times New Roman" w:hAnsi="Times New Roman" w:cs="仿宋_GB2312"/>
          <w:szCs w:val="30"/>
        </w:rPr>
        <w:t>阈值开展试验抽检。</w:t>
      </w:r>
    </w:p>
    <w:tbl>
      <w:tblPr>
        <w:tblStyle w:val="5"/>
        <w:tblW w:w="4959" w:type="pct"/>
        <w:tblInd w:w="0" w:type="dxa"/>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Layout w:type="fixed"/>
        <w:tblCellMar>
          <w:top w:w="0" w:type="dxa"/>
          <w:left w:w="0" w:type="dxa"/>
          <w:bottom w:w="0" w:type="dxa"/>
          <w:right w:w="0" w:type="dxa"/>
        </w:tblCellMar>
      </w:tblPr>
      <w:tblGrid>
        <w:gridCol w:w="755"/>
        <w:gridCol w:w="1795"/>
        <w:gridCol w:w="1001"/>
        <w:gridCol w:w="759"/>
        <w:gridCol w:w="238"/>
        <w:gridCol w:w="699"/>
        <w:gridCol w:w="1491"/>
        <w:gridCol w:w="841"/>
        <w:gridCol w:w="818"/>
      </w:tblGrid>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tcBorders>
              <w:top w:val="single" w:color="A3A3A3" w:sz="8" w:space="0"/>
              <w:left w:val="single" w:color="A3A3A3" w:sz="8" w:space="0"/>
              <w:bottom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报警级别</w:t>
            </w: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参数</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是否必填项</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是否抽查项</w:t>
            </w:r>
          </w:p>
        </w:tc>
        <w:tc>
          <w:tcPr>
            <w:tcW w:w="142" w:type="pct"/>
            <w:vMerge w:val="restart"/>
            <w:tcBorders>
              <w:top w:val="single" w:color="A3A3A3" w:sz="8" w:space="0"/>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宋体" w:cs="微软雅黑"/>
                <w:b/>
                <w:bCs/>
                <w:sz w:val="20"/>
                <w:szCs w:val="20"/>
              </w:rPr>
            </w:pPr>
          </w:p>
        </w:tc>
        <w:tc>
          <w:tcPr>
            <w:tcW w:w="416" w:type="pct"/>
            <w:tcBorders>
              <w:top w:val="single" w:color="A3A3A3" w:sz="8" w:space="0"/>
              <w:left w:val="single" w:color="A3A3A3" w:sz="8" w:space="0"/>
              <w:bottom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报警级别</w:t>
            </w: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参数</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是否必填项</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是否抽查项</w:t>
            </w: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restart"/>
            <w:tcBorders>
              <w:top w:val="single" w:color="A3A3A3" w:sz="8" w:space="0"/>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三级</w:t>
            </w: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动力蓄电池包过压报警(V)</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是</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142" w:type="pct"/>
            <w:vMerge w:val="continue"/>
            <w:tcBorders>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416" w:type="pct"/>
            <w:vMerge w:val="restart"/>
            <w:tcBorders>
              <w:top w:val="single" w:color="A3A3A3" w:sz="8" w:space="0"/>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二级</w:t>
            </w: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制动系统报警</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否</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动力蓄电池总电流过流(A)</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lang w:bidi="ar"/>
              </w:rPr>
              <w:t>是</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142" w:type="pct"/>
            <w:vMerge w:val="continue"/>
            <w:tcBorders>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416"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DC-DC状态报警</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否</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vertAlign w:val="superscript"/>
              </w:rPr>
            </w:pP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单体电池过压报警(V)</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lang w:bidi="ar"/>
              </w:rPr>
              <w:t>是</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142" w:type="pct"/>
            <w:vMerge w:val="continue"/>
            <w:tcBorders>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416"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驱动电机控制器温度报警</w:t>
            </w:r>
            <w:r>
              <w:rPr>
                <w:rFonts w:hint="default" w:ascii="Times New Roman" w:hAnsi="Times New Roman" w:eastAsia="仿宋_GB2312" w:cs="Times New Roman"/>
                <w:spacing w:val="-6"/>
                <w:sz w:val="24"/>
                <w:szCs w:val="24"/>
              </w:rPr>
              <w:t>(℃)</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是</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动力蓄电池包过充</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是</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hint="eastAsia" w:ascii="Times New Roman" w:hAnsi="Times New Roman" w:eastAsia="仿宋_GB2312" w:cs="微软雅黑"/>
                <w:spacing w:val="-6"/>
                <w:sz w:val="24"/>
                <w:szCs w:val="24"/>
                <w:vertAlign w:val="superscript"/>
                <w:lang w:val="en-US" w:eastAsia="zh-CN"/>
              </w:rPr>
            </w:pPr>
            <w:r>
              <w:rPr>
                <w:rFonts w:hint="eastAsia" w:ascii="Times New Roman" w:hAnsi="Times New Roman" w:eastAsia="仿宋_GB2312" w:cs="微软雅黑"/>
                <w:spacing w:val="-6"/>
                <w:sz w:val="24"/>
                <w:szCs w:val="24"/>
              </w:rPr>
              <w:t>是</w:t>
            </w:r>
            <w:r>
              <w:rPr>
                <w:rFonts w:hint="eastAsia" w:ascii="Times New Roman" w:hAnsi="Times New Roman" w:eastAsia="仿宋_GB2312" w:cs="微软雅黑"/>
                <w:spacing w:val="-6"/>
                <w:sz w:val="24"/>
                <w:szCs w:val="24"/>
                <w:vertAlign w:val="superscript"/>
              </w:rPr>
              <w:t>1</w:t>
            </w:r>
            <w:r>
              <w:rPr>
                <w:rFonts w:hint="eastAsia" w:eastAsia="仿宋_GB2312" w:cs="微软雅黑"/>
                <w:spacing w:val="-6"/>
                <w:sz w:val="24"/>
                <w:szCs w:val="24"/>
                <w:vertAlign w:val="superscript"/>
                <w:lang w:val="en-US" w:eastAsia="zh-CN"/>
              </w:rPr>
              <w:t>)</w:t>
            </w:r>
          </w:p>
        </w:tc>
        <w:tc>
          <w:tcPr>
            <w:tcW w:w="142" w:type="pct"/>
            <w:vMerge w:val="continue"/>
            <w:tcBorders>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416"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驱动电机温度报警</w:t>
            </w:r>
            <w:r>
              <w:rPr>
                <w:rFonts w:hint="default" w:ascii="Times New Roman" w:hAnsi="Times New Roman" w:eastAsia="仿宋_GB2312" w:cs="Times New Roman"/>
                <w:spacing w:val="-6"/>
                <w:sz w:val="24"/>
                <w:szCs w:val="24"/>
              </w:rPr>
              <w:t>(℃)</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是</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hint="eastAsia" w:ascii="Times New Roman" w:hAnsi="Times New Roman" w:eastAsia="仿宋_GB2312" w:cs="微软雅黑"/>
                <w:spacing w:val="-6"/>
                <w:sz w:val="24"/>
                <w:szCs w:val="24"/>
                <w:vertAlign w:val="superscript"/>
                <w:lang w:eastAsia="zh-CN"/>
              </w:rPr>
            </w:pPr>
            <w:r>
              <w:rPr>
                <w:rFonts w:hint="eastAsia" w:ascii="Times New Roman" w:hAnsi="Times New Roman" w:eastAsia="仿宋_GB2312" w:cs="微软雅黑"/>
                <w:spacing w:val="-6"/>
                <w:sz w:val="24"/>
                <w:szCs w:val="24"/>
              </w:rPr>
              <w:t>是</w:t>
            </w:r>
            <w:r>
              <w:rPr>
                <w:rFonts w:hint="eastAsia" w:ascii="Times New Roman" w:hAnsi="Times New Roman" w:eastAsia="仿宋_GB2312" w:cs="微软雅黑"/>
                <w:spacing w:val="-6"/>
                <w:sz w:val="24"/>
                <w:szCs w:val="24"/>
                <w:vertAlign w:val="superscript"/>
              </w:rPr>
              <w:t>3</w:t>
            </w:r>
            <w:r>
              <w:rPr>
                <w:rFonts w:hint="eastAsia" w:eastAsia="仿宋_GB2312" w:cs="微软雅黑"/>
                <w:spacing w:val="-6"/>
                <w:sz w:val="24"/>
                <w:szCs w:val="24"/>
                <w:vertAlign w:val="superscript"/>
                <w:lang w:val="en-US" w:eastAsia="zh-CN"/>
              </w:rPr>
              <w:t>)</w:t>
            </w: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电池高温报警</w:t>
            </w:r>
            <w:r>
              <w:rPr>
                <w:rFonts w:hint="default" w:ascii="Times New Roman" w:hAnsi="Times New Roman" w:eastAsia="仿宋_GB2312" w:cs="Times New Roman"/>
                <w:spacing w:val="-6"/>
                <w:sz w:val="24"/>
                <w:szCs w:val="24"/>
              </w:rPr>
              <w:t>(℃)</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lang w:bidi="ar"/>
              </w:rPr>
              <w:t>是</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142" w:type="pct"/>
            <w:vMerge w:val="continue"/>
            <w:tcBorders>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416"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电池高温报警</w:t>
            </w:r>
            <w:r>
              <w:rPr>
                <w:rFonts w:hint="default" w:ascii="Times New Roman" w:hAnsi="Times New Roman" w:eastAsia="仿宋_GB2312" w:cs="Times New Roman"/>
                <w:spacing w:val="-6"/>
                <w:sz w:val="24"/>
                <w:szCs w:val="24"/>
              </w:rPr>
              <w:t>(℃)</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是</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温度差异报警</w:t>
            </w:r>
            <w:r>
              <w:rPr>
                <w:rFonts w:hint="default" w:ascii="Times New Roman" w:hAnsi="Times New Roman" w:eastAsia="仿宋_GB2312" w:cs="Times New Roman"/>
                <w:spacing w:val="-6"/>
                <w:sz w:val="24"/>
                <w:szCs w:val="24"/>
              </w:rPr>
              <w:t>(℃)</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lang w:bidi="ar"/>
              </w:rPr>
              <w:t>是</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142" w:type="pct"/>
            <w:vMerge w:val="continue"/>
            <w:tcBorders>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416"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SOC跳变报警</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否</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continue"/>
            <w:tcBorders>
              <w:left w:val="single" w:color="A3A3A3" w:sz="8" w:space="0"/>
              <w:bottom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绝缘报警</w:t>
            </w:r>
            <w:r>
              <w:rPr>
                <w:rFonts w:hint="default" w:ascii="Times New Roman" w:hAnsi="Times New Roman" w:eastAsia="仿宋_GB2312" w:cs="Times New Roman"/>
                <w:spacing w:val="-6"/>
                <w:sz w:val="24"/>
                <w:szCs w:val="24"/>
              </w:rPr>
              <w:t>(Ω/V)</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是</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hint="eastAsia" w:ascii="Times New Roman" w:hAnsi="Times New Roman" w:eastAsia="仿宋_GB2312" w:cs="微软雅黑"/>
                <w:spacing w:val="-6"/>
                <w:sz w:val="24"/>
                <w:szCs w:val="24"/>
                <w:vertAlign w:val="superscript"/>
                <w:lang w:val="en-US" w:eastAsia="zh-CN"/>
              </w:rPr>
            </w:pPr>
            <w:r>
              <w:rPr>
                <w:rFonts w:hint="eastAsia" w:ascii="Times New Roman" w:hAnsi="Times New Roman" w:eastAsia="仿宋_GB2312" w:cs="微软雅黑"/>
                <w:spacing w:val="-6"/>
                <w:sz w:val="24"/>
                <w:szCs w:val="24"/>
              </w:rPr>
              <w:t>是</w:t>
            </w:r>
            <w:r>
              <w:rPr>
                <w:rFonts w:hint="eastAsia" w:ascii="Times New Roman" w:hAnsi="Times New Roman" w:eastAsia="仿宋_GB2312" w:cs="微软雅黑"/>
                <w:spacing w:val="-6"/>
                <w:sz w:val="24"/>
                <w:szCs w:val="24"/>
                <w:vertAlign w:val="superscript"/>
              </w:rPr>
              <w:t>2</w:t>
            </w:r>
            <w:r>
              <w:rPr>
                <w:rFonts w:hint="eastAsia" w:eastAsia="仿宋_GB2312" w:cs="微软雅黑"/>
                <w:spacing w:val="-6"/>
                <w:sz w:val="24"/>
                <w:szCs w:val="24"/>
                <w:vertAlign w:val="superscript"/>
                <w:lang w:val="en-US" w:eastAsia="zh-CN"/>
              </w:rPr>
              <w:t>)</w:t>
            </w:r>
          </w:p>
        </w:tc>
        <w:tc>
          <w:tcPr>
            <w:tcW w:w="142" w:type="pct"/>
            <w:vMerge w:val="continue"/>
            <w:tcBorders>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416"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整车CAN通讯故障报警</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否</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restart"/>
            <w:tcBorders>
              <w:top w:val="single" w:color="A3A3A3" w:sz="8" w:space="0"/>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二级</w:t>
            </w: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动力蓄电池包欠压报警(V)</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是</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42" w:type="pct"/>
            <w:vMerge w:val="continue"/>
            <w:tcBorders>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416"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SOC过高报警(%)</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否</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单体电池欠压报警(V)</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是</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42" w:type="pct"/>
            <w:vMerge w:val="continue"/>
            <w:tcBorders>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416" w:type="pct"/>
            <w:vMerge w:val="restart"/>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一级</w:t>
            </w: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充电连接故障</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widowControl/>
              <w:adjustRightInd w:val="0"/>
              <w:snapToGrid w:val="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是</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widowControl/>
              <w:adjustRightInd w:val="0"/>
              <w:snapToGrid w:val="0"/>
              <w:jc w:val="left"/>
              <w:rPr>
                <w:rFonts w:hint="eastAsia" w:ascii="Times New Roman" w:hAnsi="Times New Roman" w:eastAsia="仿宋_GB2312" w:cs="微软雅黑"/>
                <w:spacing w:val="-6"/>
                <w:sz w:val="24"/>
                <w:szCs w:val="24"/>
                <w:lang w:val="en-US" w:eastAsia="zh-CN"/>
              </w:rPr>
            </w:pPr>
            <w:r>
              <w:rPr>
                <w:rFonts w:hint="eastAsia" w:ascii="Times New Roman" w:hAnsi="Times New Roman" w:eastAsia="仿宋_GB2312" w:cs="微软雅黑"/>
                <w:spacing w:val="-6"/>
                <w:sz w:val="24"/>
                <w:szCs w:val="24"/>
              </w:rPr>
              <w:t>是</w:t>
            </w:r>
            <w:r>
              <w:rPr>
                <w:rFonts w:hint="eastAsia" w:ascii="Times New Roman" w:hAnsi="Times New Roman" w:eastAsia="仿宋_GB2312" w:cs="微软雅黑"/>
                <w:spacing w:val="-6"/>
                <w:sz w:val="24"/>
                <w:szCs w:val="24"/>
                <w:vertAlign w:val="superscript"/>
              </w:rPr>
              <w:t>4</w:t>
            </w:r>
            <w:r>
              <w:rPr>
                <w:rFonts w:hint="eastAsia" w:eastAsia="仿宋_GB2312" w:cs="微软雅黑"/>
                <w:spacing w:val="-6"/>
                <w:sz w:val="24"/>
                <w:szCs w:val="24"/>
                <w:vertAlign w:val="superscript"/>
                <w:lang w:val="en-US" w:eastAsia="zh-CN"/>
              </w:rPr>
              <w:t>)</w:t>
            </w: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驱动电机电流过高报警(A)</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否</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42" w:type="pct"/>
            <w:vMerge w:val="continue"/>
            <w:tcBorders>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416"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整车充电故障</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widowControl/>
              <w:adjustRightInd w:val="0"/>
              <w:snapToGrid w:val="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是</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widowControl/>
              <w:adjustRightInd w:val="0"/>
              <w:snapToGrid w:val="0"/>
              <w:jc w:val="left"/>
              <w:rPr>
                <w:rFonts w:ascii="Times New Roman" w:hAnsi="Times New Roman" w:eastAsia="仿宋_GB2312" w:cs="微软雅黑"/>
                <w:spacing w:val="-6"/>
                <w:sz w:val="24"/>
                <w:szCs w:val="24"/>
              </w:rPr>
            </w:pP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动力蓄电池包不匹配报警</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否</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42" w:type="pct"/>
            <w:vMerge w:val="continue"/>
            <w:tcBorders>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416"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驱动电机转速过高报警(r/min)</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widowControl/>
              <w:adjustRightInd w:val="0"/>
              <w:snapToGrid w:val="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是</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widowControl/>
              <w:adjustRightInd w:val="0"/>
              <w:snapToGrid w:val="0"/>
              <w:jc w:val="left"/>
              <w:rPr>
                <w:rFonts w:ascii="Times New Roman" w:hAnsi="Times New Roman" w:eastAsia="仿宋_GB2312" w:cs="微软雅黑"/>
                <w:spacing w:val="-6"/>
                <w:sz w:val="24"/>
                <w:szCs w:val="24"/>
              </w:rPr>
            </w:pP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电池单体一致性差报警</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是</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142" w:type="pct"/>
            <w:vMerge w:val="continue"/>
            <w:tcBorders>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416"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SOC低报警(%)</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widowControl/>
              <w:adjustRightInd w:val="0"/>
              <w:snapToGrid w:val="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否</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widowControl/>
              <w:adjustRightInd w:val="0"/>
              <w:snapToGrid w:val="0"/>
              <w:jc w:val="left"/>
              <w:rPr>
                <w:rFonts w:ascii="Times New Roman" w:hAnsi="Times New Roman" w:eastAsia="仿宋_GB2312" w:cs="微软雅黑"/>
                <w:spacing w:val="-6"/>
                <w:sz w:val="24"/>
                <w:szCs w:val="24"/>
              </w:rPr>
            </w:pP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驱动电机CAN通讯故障</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否</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142" w:type="pct"/>
            <w:vMerge w:val="continue"/>
            <w:tcBorders>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416"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DC-DC温度报警</w:t>
            </w:r>
            <w:r>
              <w:rPr>
                <w:rFonts w:hint="default" w:ascii="Times New Roman" w:hAnsi="Times New Roman" w:eastAsia="仿宋_GB2312" w:cs="Times New Roman"/>
                <w:spacing w:val="-6"/>
                <w:sz w:val="24"/>
                <w:szCs w:val="24"/>
              </w:rPr>
              <w:t>(℃)</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widowControl/>
              <w:adjustRightInd w:val="0"/>
              <w:snapToGrid w:val="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是</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widowControl/>
              <w:adjustRightInd w:val="0"/>
              <w:snapToGrid w:val="0"/>
              <w:jc w:val="left"/>
              <w:rPr>
                <w:rFonts w:ascii="Times New Roman" w:hAnsi="Times New Roman" w:eastAsia="仿宋_GB2312" w:cs="微软雅黑"/>
                <w:spacing w:val="-6"/>
                <w:sz w:val="24"/>
                <w:szCs w:val="24"/>
              </w:rPr>
            </w:pP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动力蓄电池CAN通讯故障</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否</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142" w:type="pct"/>
            <w:vMerge w:val="continue"/>
            <w:tcBorders>
              <w:left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416" w:type="pct"/>
            <w:vMerge w:val="continue"/>
            <w:tcBorders>
              <w:left w:val="single" w:color="A3A3A3" w:sz="8" w:space="0"/>
              <w:bottom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充电状态故障报警</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widowControl/>
              <w:adjustRightInd w:val="0"/>
              <w:snapToGrid w:val="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否</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widowControl/>
              <w:adjustRightInd w:val="0"/>
              <w:snapToGrid w:val="0"/>
              <w:jc w:val="left"/>
              <w:rPr>
                <w:rFonts w:ascii="Times New Roman" w:hAnsi="Times New Roman" w:eastAsia="仿宋_GB2312" w:cs="微软雅黑"/>
                <w:spacing w:val="-6"/>
                <w:sz w:val="24"/>
                <w:szCs w:val="24"/>
              </w:rPr>
            </w:pPr>
          </w:p>
        </w:tc>
      </w:tr>
      <w:tr>
        <w:tblPrEx>
          <w:tblBorders>
            <w:top w:val="single" w:color="A3A3A3" w:sz="8" w:space="0"/>
            <w:left w:val="single" w:color="A3A3A3" w:sz="8" w:space="0"/>
            <w:bottom w:val="single" w:color="A3A3A3" w:sz="8" w:space="0"/>
            <w:right w:val="single" w:color="A3A3A3" w:sz="8" w:space="0"/>
            <w:insideH w:val="outset" w:color="auto" w:sz="6" w:space="0"/>
            <w:insideV w:val="outset" w:color="auto" w:sz="6" w:space="0"/>
          </w:tblBorders>
          <w:tblCellMar>
            <w:top w:w="0" w:type="dxa"/>
            <w:left w:w="0" w:type="dxa"/>
            <w:bottom w:w="0" w:type="dxa"/>
            <w:right w:w="0" w:type="dxa"/>
          </w:tblCellMar>
        </w:tblPrEx>
        <w:tc>
          <w:tcPr>
            <w:tcW w:w="449" w:type="pct"/>
            <w:vMerge w:val="continue"/>
            <w:tcBorders>
              <w:left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p>
        </w:tc>
        <w:tc>
          <w:tcPr>
            <w:tcW w:w="106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高压互锁状态报警</w:t>
            </w:r>
          </w:p>
        </w:tc>
        <w:tc>
          <w:tcPr>
            <w:tcW w:w="595"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否</w:t>
            </w:r>
          </w:p>
        </w:tc>
        <w:tc>
          <w:tcPr>
            <w:tcW w:w="452"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142" w:type="pct"/>
            <w:vMerge w:val="continue"/>
            <w:tcBorders>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416" w:type="pct"/>
            <w:tcBorders>
              <w:top w:val="single" w:color="A3A3A3" w:sz="8" w:space="0"/>
              <w:left w:val="single" w:color="A3A3A3" w:sz="8" w:space="0"/>
              <w:bottom w:val="single" w:color="A3A3A3" w:sz="8" w:space="0"/>
              <w:right w:val="single" w:color="A3A3A3" w:sz="8" w:space="0"/>
            </w:tcBorders>
            <w:shd w:val="clear" w:color="auto" w:fill="D7D7D7" w:themeFill="background1" w:themeFillShade="D8"/>
            <w:tcMar>
              <w:top w:w="80" w:type="dxa"/>
              <w:left w:w="80" w:type="dxa"/>
              <w:bottom w:w="80" w:type="dxa"/>
              <w:right w:w="80" w:type="dxa"/>
            </w:tcMar>
            <w:vAlign w:val="center"/>
          </w:tcPr>
          <w:p>
            <w:pPr>
              <w:pStyle w:val="4"/>
              <w:widowControl/>
              <w:adjustRightInd w:val="0"/>
              <w:snapToGrid w:val="0"/>
              <w:spacing w:beforeAutospacing="0" w:afterAutospacing="0"/>
              <w:rPr>
                <w:rFonts w:ascii="Times New Roman" w:hAnsi="Times New Roman" w:eastAsia="仿宋_GB2312" w:cs="微软雅黑"/>
                <w:spacing w:val="-6"/>
                <w:sz w:val="24"/>
                <w:szCs w:val="24"/>
              </w:rPr>
            </w:pPr>
          </w:p>
        </w:tc>
        <w:tc>
          <w:tcPr>
            <w:tcW w:w="8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pStyle w:val="4"/>
              <w:widowControl/>
              <w:adjustRightInd w:val="0"/>
              <w:snapToGrid w:val="0"/>
              <w:spacing w:beforeAutospacing="0" w:afterAutospacing="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充电通讯故障报警</w:t>
            </w:r>
          </w:p>
        </w:tc>
        <w:tc>
          <w:tcPr>
            <w:tcW w:w="500"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widowControl/>
              <w:adjustRightInd w:val="0"/>
              <w:snapToGrid w:val="0"/>
              <w:jc w:val="center"/>
              <w:rPr>
                <w:rFonts w:ascii="Times New Roman" w:hAnsi="Times New Roman" w:eastAsia="仿宋_GB2312" w:cs="微软雅黑"/>
                <w:spacing w:val="-6"/>
                <w:sz w:val="24"/>
                <w:szCs w:val="24"/>
              </w:rPr>
            </w:pPr>
            <w:r>
              <w:rPr>
                <w:rFonts w:hint="eastAsia" w:ascii="Times New Roman" w:hAnsi="Times New Roman" w:eastAsia="仿宋_GB2312" w:cs="微软雅黑"/>
                <w:spacing w:val="-6"/>
                <w:sz w:val="24"/>
                <w:szCs w:val="24"/>
              </w:rPr>
              <w:t>是</w:t>
            </w:r>
          </w:p>
        </w:tc>
        <w:tc>
          <w:tcPr>
            <w:tcW w:w="487" w:type="pct"/>
            <w:tcBorders>
              <w:top w:val="single" w:color="A3A3A3" w:sz="8" w:space="0"/>
              <w:left w:val="single" w:color="A3A3A3" w:sz="8" w:space="0"/>
              <w:bottom w:val="single" w:color="A3A3A3" w:sz="8" w:space="0"/>
              <w:right w:val="single" w:color="A3A3A3" w:sz="8" w:space="0"/>
            </w:tcBorders>
            <w:shd w:val="clear" w:color="auto" w:fill="auto"/>
            <w:tcMar>
              <w:top w:w="80" w:type="dxa"/>
              <w:left w:w="80" w:type="dxa"/>
              <w:bottom w:w="80" w:type="dxa"/>
              <w:right w:w="80" w:type="dxa"/>
            </w:tcMar>
            <w:vAlign w:val="center"/>
          </w:tcPr>
          <w:p>
            <w:pPr>
              <w:widowControl/>
              <w:adjustRightInd w:val="0"/>
              <w:snapToGrid w:val="0"/>
              <w:jc w:val="left"/>
              <w:rPr>
                <w:rFonts w:hint="eastAsia" w:ascii="Times New Roman" w:hAnsi="Times New Roman" w:eastAsia="仿宋_GB2312" w:cs="微软雅黑"/>
                <w:spacing w:val="-6"/>
                <w:sz w:val="24"/>
                <w:szCs w:val="24"/>
                <w:lang w:eastAsia="zh-CN"/>
              </w:rPr>
            </w:pPr>
            <w:r>
              <w:rPr>
                <w:rFonts w:hint="eastAsia" w:ascii="Times New Roman" w:hAnsi="Times New Roman" w:eastAsia="仿宋_GB2312" w:cs="微软雅黑"/>
                <w:spacing w:val="-6"/>
                <w:sz w:val="24"/>
                <w:szCs w:val="24"/>
              </w:rPr>
              <w:t>是</w:t>
            </w:r>
            <w:r>
              <w:rPr>
                <w:rFonts w:hint="eastAsia" w:ascii="Times New Roman" w:hAnsi="Times New Roman" w:eastAsia="仿宋_GB2312" w:cs="微软雅黑"/>
                <w:spacing w:val="-6"/>
                <w:sz w:val="24"/>
                <w:szCs w:val="24"/>
                <w:vertAlign w:val="superscript"/>
              </w:rPr>
              <w:t>5</w:t>
            </w:r>
            <w:r>
              <w:rPr>
                <w:rFonts w:hint="eastAsia" w:eastAsia="仿宋_GB2312" w:cs="微软雅黑"/>
                <w:spacing w:val="-6"/>
                <w:sz w:val="24"/>
                <w:szCs w:val="24"/>
                <w:vertAlign w:val="superscript"/>
                <w:lang w:val="en-US"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Times New Roman" w:hAnsi="Times New Roman" w:cs="仿宋_GB2312"/>
          <w:szCs w:val="30"/>
        </w:rPr>
      </w:pPr>
      <w:r>
        <w:rPr>
          <w:rFonts w:hint="eastAsia" w:ascii="Times New Roman" w:hAnsi="Times New Roman" w:cs="仿宋_GB2312"/>
          <w:szCs w:val="30"/>
        </w:rPr>
        <w:t>阈值抽查方法：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16" w:leftChars="0"/>
        <w:textAlignment w:val="auto"/>
        <w:rPr>
          <w:rFonts w:hint="eastAsia" w:ascii="仿宋_GB2312" w:hAnsi="仿宋_GB2312" w:eastAsia="仿宋_GB2312" w:cs="仿宋_GB2312"/>
          <w:b w:val="0"/>
          <w:bCs w:val="0"/>
          <w:sz w:val="32"/>
          <w:szCs w:val="32"/>
        </w:rPr>
      </w:pPr>
      <w:r>
        <w:rPr>
          <w:rFonts w:hint="eastAsia" w:ascii="Times New Roman" w:hAnsi="Times New Roman" w:cs="Times New Roman"/>
          <w:b w:val="0"/>
          <w:bCs w:val="0"/>
          <w:spacing w:val="-6"/>
          <w:sz w:val="32"/>
          <w:szCs w:val="32"/>
          <w:lang w:val="en-US" w:eastAsia="zh-CN"/>
        </w:rPr>
        <w:t>1)</w:t>
      </w:r>
      <w:r>
        <w:rPr>
          <w:rFonts w:hint="eastAsia" w:cs="Times New Roman"/>
          <w:b w:val="0"/>
          <w:bCs w:val="0"/>
          <w:spacing w:val="-6"/>
          <w:sz w:val="32"/>
          <w:szCs w:val="32"/>
          <w:lang w:val="en-US" w:eastAsia="zh-CN"/>
        </w:rPr>
        <w:t xml:space="preserve"> </w:t>
      </w:r>
      <w:r>
        <w:rPr>
          <w:rFonts w:hint="eastAsia" w:ascii="仿宋_GB2312" w:hAnsi="仿宋_GB2312" w:eastAsia="仿宋_GB2312" w:cs="仿宋_GB2312"/>
          <w:b w:val="0"/>
          <w:bCs w:val="0"/>
          <w:sz w:val="32"/>
          <w:szCs w:val="32"/>
        </w:rPr>
        <w:t>动力蓄电池包过充</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16" w:firstLineChars="200"/>
        <w:textAlignment w:val="auto"/>
        <w:outlineLvl w:val="0"/>
        <w:rPr>
          <w:rFonts w:hint="eastAsia" w:ascii="Times New Roman" w:hAnsi="Times New Roman" w:eastAsia="仿宋_GB2312" w:cs="仿宋_GB2312"/>
          <w:b w:val="0"/>
          <w:bCs w:val="0"/>
          <w:sz w:val="32"/>
          <w:szCs w:val="30"/>
        </w:rPr>
      </w:pPr>
      <w:r>
        <w:rPr>
          <w:rFonts w:hint="eastAsia" w:ascii="Times New Roman" w:hAnsi="Times New Roman" w:eastAsia="仿宋_GB2312" w:cs="仿宋_GB2312"/>
          <w:b w:val="0"/>
          <w:bCs w:val="0"/>
          <w:sz w:val="32"/>
          <w:szCs w:val="30"/>
        </w:rPr>
        <w:t>根据</w:t>
      </w:r>
      <w:r>
        <w:rPr>
          <w:rFonts w:hint="eastAsia" w:ascii="Times New Roman" w:hAnsi="Times New Roman" w:cs="仿宋_GB2312"/>
          <w:b w:val="0"/>
          <w:bCs w:val="0"/>
          <w:sz w:val="32"/>
          <w:szCs w:val="30"/>
        </w:rPr>
        <w:t>《电动汽车用动力蓄电池安全要求》</w:t>
      </w:r>
      <w:r>
        <w:rPr>
          <w:rFonts w:hint="eastAsia" w:cs="仿宋_GB2312"/>
          <w:b w:val="0"/>
          <w:bCs w:val="0"/>
          <w:sz w:val="32"/>
          <w:szCs w:val="30"/>
          <w:lang w:eastAsia="zh-CN"/>
        </w:rPr>
        <w:t>（</w:t>
      </w:r>
      <w:r>
        <w:rPr>
          <w:rFonts w:hint="eastAsia" w:ascii="Times New Roman" w:hAnsi="Times New Roman" w:cs="仿宋_GB2312"/>
          <w:b w:val="0"/>
          <w:bCs w:val="0"/>
          <w:sz w:val="32"/>
          <w:szCs w:val="30"/>
        </w:rPr>
        <w:t>GB</w:t>
      </w:r>
      <w:r>
        <w:rPr>
          <w:rFonts w:hint="eastAsia" w:cs="仿宋_GB2312"/>
          <w:b w:val="0"/>
          <w:bCs w:val="0"/>
          <w:sz w:val="32"/>
          <w:szCs w:val="30"/>
          <w:lang w:val="en-US" w:eastAsia="zh-CN"/>
        </w:rPr>
        <w:t xml:space="preserve"> </w:t>
      </w:r>
      <w:r>
        <w:rPr>
          <w:rFonts w:hint="eastAsia" w:ascii="Times New Roman" w:hAnsi="Times New Roman" w:cs="仿宋_GB2312"/>
          <w:b w:val="0"/>
          <w:bCs w:val="0"/>
          <w:sz w:val="32"/>
          <w:szCs w:val="30"/>
        </w:rPr>
        <w:t>38031-2020</w:t>
      </w:r>
      <w:r>
        <w:rPr>
          <w:rFonts w:hint="eastAsia" w:cs="仿宋_GB2312"/>
          <w:b w:val="0"/>
          <w:bCs w:val="0"/>
          <w:sz w:val="32"/>
          <w:szCs w:val="30"/>
          <w:lang w:eastAsia="zh-CN"/>
        </w:rPr>
        <w:t>）</w:t>
      </w:r>
      <w:r>
        <w:rPr>
          <w:rFonts w:hint="eastAsia" w:ascii="Times New Roman" w:hAnsi="Times New Roman" w:cs="仿宋_GB2312"/>
          <w:b w:val="0"/>
          <w:bCs w:val="0"/>
          <w:sz w:val="32"/>
          <w:szCs w:val="30"/>
        </w:rPr>
        <w:t>利用外接充电设备给电池包充电开展</w:t>
      </w:r>
      <w:r>
        <w:rPr>
          <w:rFonts w:hint="eastAsia" w:ascii="Times New Roman" w:hAnsi="Times New Roman" w:eastAsia="仿宋_GB2312" w:cs="仿宋_GB2312"/>
          <w:b w:val="0"/>
          <w:bCs w:val="0"/>
          <w:sz w:val="32"/>
          <w:szCs w:val="30"/>
        </w:rPr>
        <w:t>整车级测试。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16" w:leftChars="0"/>
        <w:textAlignment w:val="auto"/>
        <w:rPr>
          <w:rFonts w:hint="eastAsia" w:ascii="仿宋_GB2312" w:hAnsi="仿宋_GB2312" w:eastAsia="仿宋_GB2312" w:cs="仿宋_GB2312"/>
          <w:b w:val="0"/>
          <w:bCs w:val="0"/>
          <w:sz w:val="32"/>
          <w:szCs w:val="32"/>
        </w:rPr>
      </w:pPr>
      <w:r>
        <w:rPr>
          <w:rFonts w:hint="eastAsia" w:cs="Times New Roman"/>
          <w:b w:val="0"/>
          <w:bCs w:val="0"/>
          <w:spacing w:val="-6"/>
          <w:sz w:val="32"/>
          <w:szCs w:val="32"/>
          <w:lang w:val="en-US" w:eastAsia="zh-CN"/>
        </w:rPr>
        <w:t>2</w:t>
      </w:r>
      <w:r>
        <w:rPr>
          <w:rFonts w:hint="eastAsia" w:ascii="Times New Roman" w:hAnsi="Times New Roman" w:cs="Times New Roman"/>
          <w:b w:val="0"/>
          <w:bCs w:val="0"/>
          <w:spacing w:val="-6"/>
          <w:sz w:val="32"/>
          <w:szCs w:val="32"/>
          <w:lang w:val="en-US" w:eastAsia="zh-CN"/>
        </w:rPr>
        <w:t>)</w:t>
      </w:r>
      <w:r>
        <w:rPr>
          <w:rFonts w:hint="eastAsia" w:cs="Times New Roman"/>
          <w:b w:val="0"/>
          <w:bCs w:val="0"/>
          <w:spacing w:val="-6"/>
          <w:sz w:val="32"/>
          <w:szCs w:val="32"/>
          <w:lang w:val="en-US" w:eastAsia="zh-CN"/>
        </w:rPr>
        <w:t xml:space="preserve"> </w:t>
      </w:r>
      <w:r>
        <w:rPr>
          <w:rFonts w:hint="eastAsia" w:ascii="仿宋_GB2312" w:hAnsi="仿宋_GB2312" w:eastAsia="仿宋_GB2312" w:cs="仿宋_GB2312"/>
          <w:b w:val="0"/>
          <w:bCs w:val="0"/>
          <w:sz w:val="32"/>
          <w:szCs w:val="32"/>
        </w:rPr>
        <w:t>绝缘报警</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0"/>
        <w:rPr>
          <w:rFonts w:hint="eastAsia" w:ascii="Times New Roman" w:hAnsi="Times New Roman" w:eastAsia="仿宋_GB2312" w:cs="仿宋_GB2312"/>
          <w:b w:val="0"/>
          <w:bCs w:val="0"/>
          <w:sz w:val="32"/>
          <w:szCs w:val="30"/>
        </w:rPr>
      </w:pPr>
      <w:r>
        <w:rPr>
          <w:rFonts w:hint="eastAsia" w:ascii="Times New Roman" w:hAnsi="Times New Roman" w:eastAsia="仿宋_GB2312" w:cs="仿宋_GB2312"/>
          <w:b w:val="0"/>
          <w:bCs w:val="0"/>
          <w:sz w:val="32"/>
          <w:szCs w:val="30"/>
        </w:rPr>
        <w:t>根据《电动汽车传导充电互操作性测试规范 第2部分:车辆》</w:t>
      </w:r>
      <w:r>
        <w:rPr>
          <w:rFonts w:hint="eastAsia" w:cs="仿宋_GB2312"/>
          <w:b w:val="0"/>
          <w:bCs w:val="0"/>
          <w:sz w:val="32"/>
          <w:szCs w:val="30"/>
          <w:lang w:eastAsia="zh-CN"/>
        </w:rPr>
        <w:t>（</w:t>
      </w:r>
      <w:r>
        <w:rPr>
          <w:rFonts w:hint="eastAsia" w:ascii="Times New Roman" w:hAnsi="Times New Roman" w:eastAsia="仿宋_GB2312" w:cs="仿宋_GB2312"/>
          <w:b w:val="0"/>
          <w:bCs w:val="0"/>
          <w:sz w:val="32"/>
          <w:szCs w:val="30"/>
        </w:rPr>
        <w:t>GB/T</w:t>
      </w:r>
      <w:r>
        <w:rPr>
          <w:rFonts w:hint="eastAsia" w:cs="仿宋_GB2312"/>
          <w:b w:val="0"/>
          <w:bCs w:val="0"/>
          <w:sz w:val="32"/>
          <w:szCs w:val="30"/>
          <w:lang w:val="en-US" w:eastAsia="zh-CN"/>
        </w:rPr>
        <w:t xml:space="preserve"> </w:t>
      </w:r>
      <w:r>
        <w:rPr>
          <w:rFonts w:hint="eastAsia" w:ascii="Times New Roman" w:hAnsi="Times New Roman" w:eastAsia="仿宋_GB2312" w:cs="仿宋_GB2312"/>
          <w:b w:val="0"/>
          <w:bCs w:val="0"/>
          <w:sz w:val="32"/>
          <w:szCs w:val="30"/>
        </w:rPr>
        <w:t>34657.2-2017</w:t>
      </w:r>
      <w:r>
        <w:rPr>
          <w:rFonts w:hint="eastAsia" w:cs="仿宋_GB2312"/>
          <w:b w:val="0"/>
          <w:bCs w:val="0"/>
          <w:sz w:val="32"/>
          <w:szCs w:val="30"/>
          <w:lang w:eastAsia="zh-CN"/>
        </w:rPr>
        <w:t>）</w:t>
      </w:r>
      <w:r>
        <w:rPr>
          <w:rFonts w:hint="eastAsia" w:ascii="Times New Roman" w:hAnsi="Times New Roman" w:eastAsia="仿宋_GB2312" w:cs="仿宋_GB2312"/>
          <w:b w:val="0"/>
          <w:bCs w:val="0"/>
          <w:sz w:val="32"/>
          <w:szCs w:val="30"/>
        </w:rPr>
        <w:t>中6.2.4.1开展测试。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16" w:leftChars="0"/>
        <w:textAlignment w:val="auto"/>
        <w:rPr>
          <w:rFonts w:hint="eastAsia" w:ascii="仿宋_GB2312" w:hAnsi="仿宋_GB2312" w:eastAsia="仿宋_GB2312" w:cs="仿宋_GB2312"/>
          <w:b w:val="0"/>
          <w:bCs w:val="0"/>
          <w:sz w:val="32"/>
          <w:szCs w:val="32"/>
        </w:rPr>
      </w:pPr>
      <w:r>
        <w:rPr>
          <w:rFonts w:hint="eastAsia" w:cs="Times New Roman"/>
          <w:b w:val="0"/>
          <w:bCs w:val="0"/>
          <w:spacing w:val="-6"/>
          <w:sz w:val="32"/>
          <w:szCs w:val="32"/>
          <w:lang w:val="en-US" w:eastAsia="zh-CN"/>
        </w:rPr>
        <w:t xml:space="preserve">3) </w:t>
      </w:r>
      <w:r>
        <w:rPr>
          <w:rFonts w:hint="eastAsia" w:ascii="仿宋_GB2312" w:hAnsi="仿宋_GB2312" w:eastAsia="仿宋_GB2312" w:cs="仿宋_GB2312"/>
          <w:b w:val="0"/>
          <w:bCs w:val="0"/>
          <w:sz w:val="32"/>
          <w:szCs w:val="32"/>
        </w:rPr>
        <w:t>驱动电机温度报警</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0"/>
        <w:rPr>
          <w:rFonts w:hint="eastAsia" w:ascii="Times New Roman" w:hAnsi="Times New Roman" w:eastAsia="仿宋_GB2312" w:cs="仿宋_GB2312"/>
          <w:b w:val="0"/>
          <w:bCs w:val="0"/>
          <w:sz w:val="32"/>
          <w:szCs w:val="30"/>
        </w:rPr>
      </w:pPr>
      <w:r>
        <w:rPr>
          <w:rFonts w:hint="eastAsia" w:ascii="Times New Roman" w:hAnsi="Times New Roman" w:eastAsia="仿宋_GB2312" w:cs="仿宋_GB2312"/>
          <w:b w:val="0"/>
          <w:bCs w:val="0"/>
          <w:sz w:val="32"/>
          <w:szCs w:val="30"/>
        </w:rPr>
        <w:t>根据《电动汽车用驱动电机系统 第2部分：试验方法》</w:t>
      </w:r>
      <w:r>
        <w:rPr>
          <w:rFonts w:hint="eastAsia" w:cs="仿宋_GB2312"/>
          <w:b w:val="0"/>
          <w:bCs w:val="0"/>
          <w:sz w:val="32"/>
          <w:szCs w:val="30"/>
          <w:lang w:eastAsia="zh-CN"/>
        </w:rPr>
        <w:t>（</w:t>
      </w:r>
      <w:r>
        <w:rPr>
          <w:rFonts w:hint="eastAsia" w:ascii="Times New Roman" w:hAnsi="Times New Roman" w:eastAsia="仿宋_GB2312" w:cs="仿宋_GB2312"/>
          <w:b w:val="0"/>
          <w:bCs w:val="0"/>
          <w:sz w:val="32"/>
          <w:szCs w:val="30"/>
        </w:rPr>
        <w:t>GB/T 18488.2-2015</w:t>
      </w:r>
      <w:r>
        <w:rPr>
          <w:rFonts w:hint="eastAsia" w:cs="仿宋_GB2312"/>
          <w:b w:val="0"/>
          <w:bCs w:val="0"/>
          <w:sz w:val="32"/>
          <w:szCs w:val="30"/>
          <w:lang w:eastAsia="zh-CN"/>
        </w:rPr>
        <w:t>）</w:t>
      </w:r>
      <w:r>
        <w:rPr>
          <w:rFonts w:hint="eastAsia" w:ascii="Times New Roman" w:hAnsi="Times New Roman" w:eastAsia="仿宋_GB2312" w:cs="仿宋_GB2312"/>
          <w:b w:val="0"/>
          <w:bCs w:val="0"/>
          <w:sz w:val="32"/>
          <w:szCs w:val="30"/>
        </w:rPr>
        <w:t>利用测功机台架选择驱动电机系统最大扭矩与最大功率交点以油门开度100%开展整车级测试。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16" w:leftChars="0"/>
        <w:textAlignment w:val="auto"/>
        <w:rPr>
          <w:rFonts w:hint="eastAsia" w:ascii="仿宋_GB2312" w:hAnsi="仿宋_GB2312" w:eastAsia="仿宋_GB2312" w:cs="仿宋_GB2312"/>
          <w:b w:val="0"/>
          <w:bCs w:val="0"/>
          <w:sz w:val="32"/>
          <w:szCs w:val="32"/>
        </w:rPr>
      </w:pPr>
      <w:r>
        <w:rPr>
          <w:rFonts w:hint="eastAsia" w:cs="Times New Roman"/>
          <w:b w:val="0"/>
          <w:bCs w:val="0"/>
          <w:spacing w:val="-6"/>
          <w:sz w:val="32"/>
          <w:szCs w:val="32"/>
          <w:lang w:val="en-US" w:eastAsia="zh-CN"/>
        </w:rPr>
        <w:t>4</w:t>
      </w:r>
      <w:r>
        <w:rPr>
          <w:rFonts w:hint="eastAsia" w:ascii="Times New Roman" w:hAnsi="Times New Roman" w:cs="Times New Roman"/>
          <w:b w:val="0"/>
          <w:bCs w:val="0"/>
          <w:spacing w:val="-6"/>
          <w:sz w:val="32"/>
          <w:szCs w:val="32"/>
          <w:lang w:val="en-US" w:eastAsia="zh-CN"/>
        </w:rPr>
        <w:t>)</w:t>
      </w:r>
      <w:r>
        <w:rPr>
          <w:rFonts w:hint="eastAsia" w:cs="Times New Roman"/>
          <w:b w:val="0"/>
          <w:bCs w:val="0"/>
          <w:spacing w:val="-6"/>
          <w:sz w:val="32"/>
          <w:szCs w:val="32"/>
          <w:lang w:val="en-US" w:eastAsia="zh-CN"/>
        </w:rPr>
        <w:t xml:space="preserve"> </w:t>
      </w:r>
      <w:r>
        <w:rPr>
          <w:rFonts w:hint="eastAsia" w:ascii="仿宋_GB2312" w:hAnsi="仿宋_GB2312" w:eastAsia="仿宋_GB2312" w:cs="仿宋_GB2312"/>
          <w:b w:val="0"/>
          <w:bCs w:val="0"/>
          <w:sz w:val="32"/>
          <w:szCs w:val="32"/>
        </w:rPr>
        <w:t>充电连接故障</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0"/>
        <w:rPr>
          <w:rFonts w:hint="eastAsia" w:ascii="Times New Roman" w:hAnsi="Times New Roman" w:eastAsia="仿宋_GB2312" w:cs="仿宋_GB2312"/>
          <w:b w:val="0"/>
          <w:bCs w:val="0"/>
          <w:sz w:val="32"/>
          <w:szCs w:val="30"/>
        </w:rPr>
      </w:pPr>
      <w:r>
        <w:rPr>
          <w:rFonts w:hint="eastAsia" w:ascii="Times New Roman" w:hAnsi="Times New Roman" w:eastAsia="仿宋_GB2312" w:cs="仿宋_GB2312"/>
          <w:b w:val="0"/>
          <w:bCs w:val="0"/>
          <w:sz w:val="32"/>
          <w:szCs w:val="30"/>
        </w:rPr>
        <w:t>根据《电动汽车传导充电互操作性测试规范 第2部分:车辆》</w:t>
      </w:r>
      <w:r>
        <w:rPr>
          <w:rFonts w:hint="eastAsia" w:cs="仿宋_GB2312"/>
          <w:b w:val="0"/>
          <w:bCs w:val="0"/>
          <w:sz w:val="32"/>
          <w:szCs w:val="30"/>
          <w:lang w:eastAsia="zh-CN"/>
        </w:rPr>
        <w:t>（</w:t>
      </w:r>
      <w:r>
        <w:rPr>
          <w:rFonts w:hint="eastAsia" w:ascii="Times New Roman" w:hAnsi="Times New Roman" w:eastAsia="仿宋_GB2312" w:cs="仿宋_GB2312"/>
          <w:b w:val="0"/>
          <w:bCs w:val="0"/>
          <w:sz w:val="32"/>
          <w:szCs w:val="30"/>
        </w:rPr>
        <w:t>GB/T</w:t>
      </w:r>
      <w:r>
        <w:rPr>
          <w:rFonts w:hint="eastAsia" w:cs="仿宋_GB2312"/>
          <w:b w:val="0"/>
          <w:bCs w:val="0"/>
          <w:sz w:val="32"/>
          <w:szCs w:val="30"/>
          <w:lang w:val="en-US" w:eastAsia="zh-CN"/>
        </w:rPr>
        <w:t xml:space="preserve"> </w:t>
      </w:r>
      <w:r>
        <w:rPr>
          <w:rFonts w:hint="eastAsia" w:ascii="Times New Roman" w:hAnsi="Times New Roman" w:eastAsia="仿宋_GB2312" w:cs="仿宋_GB2312"/>
          <w:b w:val="0"/>
          <w:bCs w:val="0"/>
          <w:sz w:val="32"/>
          <w:szCs w:val="30"/>
        </w:rPr>
        <w:t>34657.2-2017</w:t>
      </w:r>
      <w:r>
        <w:rPr>
          <w:rFonts w:hint="eastAsia" w:cs="仿宋_GB2312"/>
          <w:b w:val="0"/>
          <w:bCs w:val="0"/>
          <w:sz w:val="32"/>
          <w:szCs w:val="30"/>
          <w:lang w:eastAsia="zh-CN"/>
        </w:rPr>
        <w:t>）</w:t>
      </w:r>
      <w:r>
        <w:rPr>
          <w:rFonts w:hint="eastAsia" w:ascii="Times New Roman" w:hAnsi="Times New Roman" w:eastAsia="仿宋_GB2312" w:cs="仿宋_GB2312"/>
          <w:b w:val="0"/>
          <w:bCs w:val="0"/>
          <w:sz w:val="32"/>
          <w:szCs w:val="30"/>
        </w:rPr>
        <w:t>中6.3.4.2开展测试。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16" w:leftChars="0"/>
        <w:textAlignment w:val="auto"/>
        <w:rPr>
          <w:rFonts w:hint="eastAsia" w:ascii="仿宋_GB2312" w:hAnsi="仿宋_GB2312" w:eastAsia="仿宋_GB2312" w:cs="仿宋_GB2312"/>
          <w:b w:val="0"/>
          <w:bCs w:val="0"/>
          <w:sz w:val="32"/>
          <w:szCs w:val="32"/>
        </w:rPr>
      </w:pPr>
      <w:r>
        <w:rPr>
          <w:rFonts w:hint="eastAsia" w:cs="Times New Roman"/>
          <w:b w:val="0"/>
          <w:bCs w:val="0"/>
          <w:spacing w:val="-6"/>
          <w:sz w:val="32"/>
          <w:szCs w:val="32"/>
          <w:lang w:val="en-US" w:eastAsia="zh-CN"/>
        </w:rPr>
        <w:t>5</w:t>
      </w:r>
      <w:r>
        <w:rPr>
          <w:rFonts w:hint="eastAsia" w:ascii="Times New Roman" w:hAnsi="Times New Roman" w:cs="Times New Roman"/>
          <w:b w:val="0"/>
          <w:bCs w:val="0"/>
          <w:spacing w:val="-6"/>
          <w:sz w:val="32"/>
          <w:szCs w:val="32"/>
          <w:lang w:val="en-US" w:eastAsia="zh-CN"/>
        </w:rPr>
        <w:t>)</w:t>
      </w:r>
      <w:r>
        <w:rPr>
          <w:rFonts w:hint="eastAsia" w:cs="Times New Roman"/>
          <w:b w:val="0"/>
          <w:bCs w:val="0"/>
          <w:spacing w:val="-6"/>
          <w:sz w:val="32"/>
          <w:szCs w:val="32"/>
          <w:lang w:val="en-US" w:eastAsia="zh-CN"/>
        </w:rPr>
        <w:t xml:space="preserve"> </w:t>
      </w:r>
      <w:r>
        <w:rPr>
          <w:rFonts w:hint="eastAsia" w:ascii="仿宋_GB2312" w:hAnsi="仿宋_GB2312" w:eastAsia="仿宋_GB2312" w:cs="仿宋_GB2312"/>
          <w:b w:val="0"/>
          <w:bCs w:val="0"/>
          <w:sz w:val="32"/>
          <w:szCs w:val="32"/>
        </w:rPr>
        <w:t>充电通讯故障</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0"/>
        <w:rPr>
          <w:rFonts w:hint="eastAsia" w:ascii="Times New Roman" w:hAnsi="Times New Roman" w:cs="仿宋_GB2312"/>
          <w:b w:val="0"/>
          <w:bCs w:val="0"/>
          <w:szCs w:val="30"/>
        </w:rPr>
      </w:pPr>
      <w:r>
        <w:rPr>
          <w:rFonts w:hint="eastAsia" w:ascii="Times New Roman" w:hAnsi="Times New Roman" w:eastAsia="仿宋_GB2312" w:cs="仿宋_GB2312"/>
          <w:b w:val="0"/>
          <w:bCs w:val="0"/>
          <w:sz w:val="32"/>
          <w:szCs w:val="30"/>
        </w:rPr>
        <w:t>根据《电动汽车传导充电互操作性测试规范 第2部分:车辆》</w:t>
      </w:r>
      <w:r>
        <w:rPr>
          <w:rFonts w:hint="eastAsia" w:cs="仿宋_GB2312"/>
          <w:b w:val="0"/>
          <w:bCs w:val="0"/>
          <w:sz w:val="32"/>
          <w:szCs w:val="30"/>
          <w:lang w:eastAsia="zh-CN"/>
        </w:rPr>
        <w:t>（</w:t>
      </w:r>
      <w:r>
        <w:rPr>
          <w:rFonts w:hint="eastAsia" w:ascii="Times New Roman" w:hAnsi="Times New Roman" w:eastAsia="仿宋_GB2312" w:cs="仿宋_GB2312"/>
          <w:b w:val="0"/>
          <w:bCs w:val="0"/>
          <w:sz w:val="32"/>
          <w:szCs w:val="30"/>
        </w:rPr>
        <w:t>GB/T</w:t>
      </w:r>
      <w:r>
        <w:rPr>
          <w:rFonts w:hint="eastAsia" w:cs="仿宋_GB2312"/>
          <w:b w:val="0"/>
          <w:bCs w:val="0"/>
          <w:sz w:val="32"/>
          <w:szCs w:val="30"/>
          <w:lang w:val="en-US" w:eastAsia="zh-CN"/>
        </w:rPr>
        <w:t xml:space="preserve"> </w:t>
      </w:r>
      <w:r>
        <w:rPr>
          <w:rFonts w:hint="eastAsia" w:ascii="Times New Roman" w:hAnsi="Times New Roman" w:eastAsia="仿宋_GB2312" w:cs="仿宋_GB2312"/>
          <w:b w:val="0"/>
          <w:bCs w:val="0"/>
          <w:sz w:val="32"/>
          <w:szCs w:val="30"/>
        </w:rPr>
        <w:t>34657.2-2017</w:t>
      </w:r>
      <w:r>
        <w:rPr>
          <w:rFonts w:hint="eastAsia" w:cs="仿宋_GB2312"/>
          <w:b w:val="0"/>
          <w:bCs w:val="0"/>
          <w:sz w:val="32"/>
          <w:szCs w:val="30"/>
          <w:lang w:eastAsia="zh-CN"/>
        </w:rPr>
        <w:t>）</w:t>
      </w:r>
      <w:r>
        <w:rPr>
          <w:rFonts w:hint="eastAsia" w:ascii="Times New Roman" w:hAnsi="Times New Roman" w:eastAsia="仿宋_GB2312" w:cs="仿宋_GB2312"/>
          <w:b w:val="0"/>
          <w:bCs w:val="0"/>
          <w:sz w:val="32"/>
          <w:szCs w:val="30"/>
        </w:rPr>
        <w:t>中6.2.4.2开展测试。</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0"/>
        <w:rPr>
          <w:rFonts w:ascii="Times New Roman" w:hAnsi="Times New Roman" w:cs="仿宋_GB2312"/>
          <w:szCs w:val="30"/>
        </w:rPr>
      </w:pPr>
      <w:r>
        <w:rPr>
          <w:rFonts w:hint="eastAsia" w:ascii="Times New Roman" w:hAnsi="Times New Roman" w:eastAsia="黑体" w:cs="黑体"/>
          <w:szCs w:val="30"/>
        </w:rPr>
        <w:t>三、试验抽检流程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Times New Roman" w:hAnsi="Times New Roman"/>
          <w:szCs w:val="32"/>
        </w:rPr>
      </w:pPr>
      <w:r>
        <w:rPr>
          <w:rFonts w:hint="eastAsia" w:ascii="Times New Roman" w:hAnsi="Times New Roman"/>
          <w:szCs w:val="32"/>
        </w:rPr>
        <w:t>若开展试验抽检，</w:t>
      </w:r>
      <w:r>
        <w:rPr>
          <w:rFonts w:hint="eastAsia" w:ascii="Times New Roman" w:hAnsi="Times New Roman" w:cs="仿宋_GB2312"/>
          <w:szCs w:val="30"/>
        </w:rPr>
        <w:t>新能源汽车生产企业应配合准备抽检样品</w:t>
      </w:r>
      <w:r>
        <w:rPr>
          <w:rFonts w:hint="eastAsia" w:cs="仿宋_GB2312"/>
          <w:szCs w:val="30"/>
          <w:lang w:eastAsia="zh-CN"/>
        </w:rPr>
        <w:t>。</w:t>
      </w:r>
      <w:r>
        <w:rPr>
          <w:rFonts w:hint="eastAsia" w:ascii="Times New Roman" w:hAnsi="Times New Roman"/>
          <w:szCs w:val="32"/>
        </w:rPr>
        <w:t>样品采用随机抽样的方法获取，抽样基数贰（台）</w:t>
      </w:r>
      <w:r>
        <w:rPr>
          <w:rFonts w:hint="eastAsia"/>
          <w:szCs w:val="32"/>
          <w:lang w:eastAsia="zh-CN"/>
        </w:rPr>
        <w:t>，</w:t>
      </w:r>
      <w:r>
        <w:rPr>
          <w:rFonts w:hint="eastAsia" w:ascii="Times New Roman" w:hAnsi="Times New Roman"/>
          <w:szCs w:val="32"/>
        </w:rPr>
        <w:t>抽取在售量产样品壹（台）</w:t>
      </w:r>
      <w:r>
        <w:rPr>
          <w:rFonts w:hint="eastAsia"/>
          <w:szCs w:val="32"/>
          <w:lang w:eastAsia="zh-CN"/>
        </w:rPr>
        <w:t>，</w:t>
      </w:r>
      <w:r>
        <w:rPr>
          <w:rFonts w:hint="eastAsia" w:ascii="Times New Roman" w:hAnsi="Times New Roman"/>
          <w:szCs w:val="32"/>
        </w:rPr>
        <w:t>完成相应抽检试验。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74"/>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B36"/>
    <w:rsid w:val="00200F12"/>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27CF"/>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17E4"/>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18"/>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3A03"/>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441C"/>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3AC4"/>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1ADC"/>
    <w:rsid w:val="00B52710"/>
    <w:rsid w:val="00B53774"/>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81761"/>
    <w:rsid w:val="00B823F2"/>
    <w:rsid w:val="00B84050"/>
    <w:rsid w:val="00B84A5A"/>
    <w:rsid w:val="00B906FC"/>
    <w:rsid w:val="00B91147"/>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27EDE"/>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 w:val="012D1760"/>
    <w:rsid w:val="027223BD"/>
    <w:rsid w:val="05C57D94"/>
    <w:rsid w:val="05E139C7"/>
    <w:rsid w:val="0627582B"/>
    <w:rsid w:val="0787681E"/>
    <w:rsid w:val="07CC1AF7"/>
    <w:rsid w:val="0BAD2928"/>
    <w:rsid w:val="0BB534A6"/>
    <w:rsid w:val="0BB972CF"/>
    <w:rsid w:val="0BE07B3F"/>
    <w:rsid w:val="0D09401E"/>
    <w:rsid w:val="0D8A2DA3"/>
    <w:rsid w:val="0DDD0DA5"/>
    <w:rsid w:val="0E886093"/>
    <w:rsid w:val="14493CEC"/>
    <w:rsid w:val="1544212F"/>
    <w:rsid w:val="19591546"/>
    <w:rsid w:val="1B4F34E7"/>
    <w:rsid w:val="1BC75CD0"/>
    <w:rsid w:val="1C974E08"/>
    <w:rsid w:val="1FFF67A7"/>
    <w:rsid w:val="20BE5783"/>
    <w:rsid w:val="2111333A"/>
    <w:rsid w:val="21F733FF"/>
    <w:rsid w:val="22967569"/>
    <w:rsid w:val="23480159"/>
    <w:rsid w:val="248967A4"/>
    <w:rsid w:val="25031AB3"/>
    <w:rsid w:val="25D01F84"/>
    <w:rsid w:val="2603335C"/>
    <w:rsid w:val="26F11AE1"/>
    <w:rsid w:val="27256FDA"/>
    <w:rsid w:val="2743136C"/>
    <w:rsid w:val="28AE41D7"/>
    <w:rsid w:val="29832C0A"/>
    <w:rsid w:val="29C85A68"/>
    <w:rsid w:val="2A1F2D4B"/>
    <w:rsid w:val="2CBF429F"/>
    <w:rsid w:val="2E2827D2"/>
    <w:rsid w:val="30CD1481"/>
    <w:rsid w:val="31A1489D"/>
    <w:rsid w:val="3208769E"/>
    <w:rsid w:val="32CA2F0D"/>
    <w:rsid w:val="33A65AD8"/>
    <w:rsid w:val="34C918DF"/>
    <w:rsid w:val="35425AC1"/>
    <w:rsid w:val="35442D32"/>
    <w:rsid w:val="35687A1D"/>
    <w:rsid w:val="36E27099"/>
    <w:rsid w:val="37D964A3"/>
    <w:rsid w:val="389C3ECE"/>
    <w:rsid w:val="39F262A4"/>
    <w:rsid w:val="3BA63C09"/>
    <w:rsid w:val="3DCF6EBD"/>
    <w:rsid w:val="3E292643"/>
    <w:rsid w:val="3EDA5B6A"/>
    <w:rsid w:val="3EF36FF1"/>
    <w:rsid w:val="40D34B85"/>
    <w:rsid w:val="41425206"/>
    <w:rsid w:val="41C72D25"/>
    <w:rsid w:val="427300C1"/>
    <w:rsid w:val="428639EE"/>
    <w:rsid w:val="42F96859"/>
    <w:rsid w:val="438B30B0"/>
    <w:rsid w:val="44286C03"/>
    <w:rsid w:val="44C96CEC"/>
    <w:rsid w:val="45124421"/>
    <w:rsid w:val="467F414D"/>
    <w:rsid w:val="48493814"/>
    <w:rsid w:val="489F2D19"/>
    <w:rsid w:val="494D4D78"/>
    <w:rsid w:val="4B2038BC"/>
    <w:rsid w:val="4C095C04"/>
    <w:rsid w:val="4C8D2B97"/>
    <w:rsid w:val="50BE1729"/>
    <w:rsid w:val="51457261"/>
    <w:rsid w:val="53D442B2"/>
    <w:rsid w:val="585F3005"/>
    <w:rsid w:val="59B6482E"/>
    <w:rsid w:val="5AB232E4"/>
    <w:rsid w:val="61A31CB6"/>
    <w:rsid w:val="61C66E4C"/>
    <w:rsid w:val="61D813C1"/>
    <w:rsid w:val="621B0B8F"/>
    <w:rsid w:val="629C72C1"/>
    <w:rsid w:val="65146200"/>
    <w:rsid w:val="659E7114"/>
    <w:rsid w:val="67CC4576"/>
    <w:rsid w:val="691705A6"/>
    <w:rsid w:val="6A0345FB"/>
    <w:rsid w:val="6AE1254A"/>
    <w:rsid w:val="6B62303D"/>
    <w:rsid w:val="6CDA6D24"/>
    <w:rsid w:val="6D326971"/>
    <w:rsid w:val="74A66967"/>
    <w:rsid w:val="74BA0470"/>
    <w:rsid w:val="751F6FB4"/>
    <w:rsid w:val="759C76BE"/>
    <w:rsid w:val="764A2463"/>
    <w:rsid w:val="7A487EB1"/>
    <w:rsid w:val="7C02732F"/>
    <w:rsid w:val="7CCA7AA2"/>
    <w:rsid w:val="7EA741BC"/>
    <w:rsid w:val="7EDF6827"/>
    <w:rsid w:val="7EF046D3"/>
    <w:rsid w:val="7F0E7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Emphasis"/>
    <w:basedOn w:val="6"/>
    <w:qFormat/>
    <w:uiPriority w:val="20"/>
    <w:rPr>
      <w:i/>
    </w:rPr>
  </w:style>
  <w:style w:type="character" w:customStyle="1" w:styleId="8">
    <w:name w:val="页眉 字符"/>
    <w:basedOn w:val="6"/>
    <w:link w:val="3"/>
    <w:qFormat/>
    <w:uiPriority w:val="99"/>
    <w:rPr>
      <w:rFonts w:eastAsia="仿宋_GB2312"/>
      <w:spacing w:val="-6"/>
      <w:kern w:val="2"/>
      <w:sz w:val="18"/>
      <w:szCs w:val="18"/>
    </w:rPr>
  </w:style>
  <w:style w:type="character" w:customStyle="1" w:styleId="9">
    <w:name w:val="页脚 字符"/>
    <w:basedOn w:val="6"/>
    <w:link w:val="2"/>
    <w:qFormat/>
    <w:uiPriority w:val="99"/>
    <w:rPr>
      <w:rFonts w:eastAsia="仿宋_GB2312"/>
      <w:spacing w:val="-6"/>
      <w:kern w:val="2"/>
      <w:sz w:val="18"/>
      <w:szCs w:val="18"/>
    </w:rPr>
  </w:style>
  <w:style w:type="paragraph" w:customStyle="1" w:styleId="10">
    <w:name w:val="Revision"/>
    <w:hidden/>
    <w:semiHidden/>
    <w:qFormat/>
    <w:uiPriority w:val="99"/>
    <w:rPr>
      <w:rFonts w:ascii="Times New Roman" w:hAnsi="Times New Roman" w:eastAsia="仿宋_GB2312" w:cs="Times New Roman"/>
      <w:spacing w:val="-6"/>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205</Words>
  <Characters>1170</Characters>
  <Lines>9</Lines>
  <Paragraphs>2</Paragraphs>
  <TotalTime>6</TotalTime>
  <ScaleCrop>false</ScaleCrop>
  <LinksUpToDate>false</LinksUpToDate>
  <CharactersWithSpaces>1373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2021-02-26T07:52:00Z</dcterms:created>
  <dc:creator>user</dc:creator>
  <cp:lastModifiedBy>陈磊</cp:lastModifiedBy>
  <cp:lastPrinted>2022-07-25T08:47:00Z</cp:lastPrinted>
  <dcterms:modified xsi:type="dcterms:W3CDTF">2022-08-12T07:03:51Z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C22BFAD514F9431394580A41980A8222</vt:lpwstr>
  </property>
</Properties>
</file>