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ED842">
      <w:pPr>
        <w:pStyle w:val="2"/>
        <w:spacing w:line="400" w:lineRule="exact"/>
        <w:jc w:val="both"/>
        <w:rPr>
          <w:rFonts w:eastAsia="仿宋_GB2312"/>
          <w:szCs w:val="32"/>
        </w:rPr>
      </w:pPr>
    </w:p>
    <w:p w14:paraId="54A838A6">
      <w:pPr>
        <w:pStyle w:val="2"/>
        <w:snapToGrid w:val="0"/>
        <w:jc w:val="center"/>
        <w:rPr>
          <w:rStyle w:val="10"/>
          <w:rFonts w:hint="eastAsia" w:ascii="方正小标宋简体" w:hAnsi="方正小标宋_GBK" w:eastAsia="方正小标宋简体" w:cs="方正小标宋_GBK"/>
          <w:color w:val="auto"/>
          <w:sz w:val="44"/>
          <w:szCs w:val="44"/>
          <w:u w:val="none"/>
        </w:rPr>
      </w:pPr>
      <w:bookmarkStart w:id="0" w:name="_GoBack"/>
      <w:r>
        <w:rPr>
          <w:rStyle w:val="10"/>
          <w:rFonts w:hint="eastAsia" w:ascii="方正小标宋简体" w:hAnsi="方正小标宋_GBK" w:eastAsia="方正小标宋简体" w:cs="方正小标宋_GBK"/>
          <w:color w:val="auto"/>
          <w:sz w:val="44"/>
          <w:szCs w:val="44"/>
          <w:u w:val="none"/>
        </w:rPr>
        <w:t>天津市人民政府办公厅关于印发天津市</w:t>
      </w:r>
    </w:p>
    <w:p w14:paraId="1426B219">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人民政府基层立法联系点工作细则的通知</w:t>
      </w:r>
    </w:p>
    <w:bookmarkEnd w:id="0"/>
    <w:p w14:paraId="1A361AD6">
      <w:pPr>
        <w:pStyle w:val="2"/>
        <w:spacing w:line="440" w:lineRule="exact"/>
        <w:rPr>
          <w:rFonts w:ascii="仿宋_GB2312" w:hAnsi="仿宋_GB2312" w:eastAsia="仿宋_GB2312" w:cs="仿宋_GB2312"/>
          <w:szCs w:val="32"/>
        </w:rPr>
      </w:pPr>
    </w:p>
    <w:p w14:paraId="45B98467">
      <w:pPr>
        <w:pStyle w:val="2"/>
        <w:rPr>
          <w:rFonts w:ascii="仿宋_GB2312" w:eastAsia="仿宋_GB2312"/>
        </w:rPr>
      </w:pPr>
      <w:r>
        <w:rPr>
          <w:rFonts w:hint="eastAsia" w:ascii="仿宋_GB2312" w:eastAsia="仿宋_GB2312"/>
        </w:rPr>
        <w:t>各区人民政府，市政府各委、办、局：</w:t>
      </w:r>
    </w:p>
    <w:p w14:paraId="2EDDE193">
      <w:pPr>
        <w:pStyle w:val="2"/>
        <w:ind w:firstLine="624" w:firstLineChars="200"/>
        <w:rPr>
          <w:rFonts w:eastAsia="仿宋_GB2312"/>
          <w:szCs w:val="32"/>
        </w:rPr>
      </w:pPr>
      <w:r>
        <w:rPr>
          <w:rFonts w:hint="eastAsia" w:eastAsia="仿宋_GB2312"/>
          <w:szCs w:val="32"/>
        </w:rPr>
        <w:t>经市人民政府同意，现将《天津市人民政府基层立法联系点工作细则》印发给你们，请照此执行。</w:t>
      </w:r>
    </w:p>
    <w:p w14:paraId="5A3D027F">
      <w:pPr>
        <w:pStyle w:val="2"/>
        <w:rPr>
          <w:rFonts w:hint="eastAsia" w:eastAsia="仿宋_GB2312"/>
          <w:szCs w:val="32"/>
          <w:lang w:val="en-US" w:eastAsia="zh-CN"/>
        </w:rPr>
      </w:pPr>
    </w:p>
    <w:p w14:paraId="3A7E8B29">
      <w:pPr>
        <w:pStyle w:val="2"/>
        <w:rPr>
          <w:rFonts w:eastAsia="仿宋_GB2312"/>
          <w:szCs w:val="32"/>
        </w:rPr>
      </w:pPr>
      <w:r>
        <w:rPr>
          <w:rFonts w:hint="eastAsia" w:eastAsia="仿宋_GB2312"/>
          <w:szCs w:val="32"/>
          <w:lang w:val="en-US" w:eastAsia="zh-CN"/>
        </w:rPr>
        <w:t xml:space="preserve">                               </w:t>
      </w:r>
      <w:r>
        <w:rPr>
          <w:rFonts w:hint="eastAsia" w:ascii="Times New Roman" w:hAnsi="Times New Roman" w:eastAsia="仿宋_GB2312"/>
          <w:szCs w:val="32"/>
          <w:lang w:val="en-US" w:eastAsia="zh-CN"/>
        </w:rPr>
        <w:t>天津市人民政府办公厅</w:t>
      </w:r>
    </w:p>
    <w:p w14:paraId="2DBF5920">
      <w:pPr>
        <w:pStyle w:val="2"/>
        <w:wordWrap w:val="0"/>
        <w:jc w:val="right"/>
        <w:rPr>
          <w:rFonts w:eastAsia="仿宋_GB2312"/>
          <w:szCs w:val="32"/>
        </w:rPr>
      </w:pPr>
      <w:r>
        <w:rPr>
          <w:rFonts w:hint="eastAsia" w:eastAsia="仿宋_GB2312"/>
          <w:szCs w:val="32"/>
        </w:rPr>
        <w:t xml:space="preserve">2025年11月8日        </w:t>
      </w:r>
    </w:p>
    <w:p w14:paraId="038D5B44">
      <w:pPr>
        <w:pStyle w:val="2"/>
        <w:ind w:firstLine="624" w:firstLineChars="200"/>
        <w:rPr>
          <w:rFonts w:hint="eastAsia" w:eastAsia="仿宋_GB2312"/>
          <w:szCs w:val="32"/>
        </w:rPr>
      </w:pPr>
      <w:r>
        <w:rPr>
          <w:rFonts w:hint="eastAsia" w:eastAsia="仿宋_GB2312"/>
          <w:szCs w:val="32"/>
        </w:rPr>
        <w:t>（此件主动公开）</w:t>
      </w:r>
    </w:p>
    <w:p w14:paraId="206FC235">
      <w:pPr>
        <w:pStyle w:val="2"/>
        <w:snapToGrid w:val="0"/>
        <w:jc w:val="center"/>
        <w:rPr>
          <w:rFonts w:ascii="方正小标宋_GBK" w:hAnsi="方正小标宋_GBK" w:eastAsia="方正小标宋_GBK" w:cs="方正小标宋_GBK"/>
          <w:sz w:val="44"/>
          <w:szCs w:val="44"/>
        </w:rPr>
      </w:pPr>
      <w:r>
        <w:rPr>
          <w:rFonts w:hint="eastAsia" w:eastAsia="仿宋_GB2312"/>
          <w:szCs w:val="32"/>
        </w:rPr>
        <w:br w:type="page"/>
      </w:r>
      <w:r>
        <w:rPr>
          <w:rStyle w:val="10"/>
          <w:rFonts w:hint="eastAsia" w:ascii="方正小标宋简体" w:hAnsi="方正小标宋_GBK" w:eastAsia="方正小标宋简体" w:cs="方正小标宋_GBK"/>
          <w:color w:val="auto"/>
          <w:sz w:val="44"/>
          <w:szCs w:val="44"/>
          <w:u w:val="none"/>
        </w:rPr>
        <w:t>天津市人民政府基层立法联系点工作细则</w:t>
      </w:r>
    </w:p>
    <w:p w14:paraId="7090526F">
      <w:pPr>
        <w:pStyle w:val="2"/>
        <w:rPr>
          <w:rFonts w:eastAsia="仿宋_GB2312"/>
          <w:szCs w:val="32"/>
        </w:rPr>
      </w:pPr>
    </w:p>
    <w:p w14:paraId="7FE03CF6">
      <w:pPr>
        <w:pStyle w:val="2"/>
        <w:ind w:firstLine="624" w:firstLineChars="200"/>
        <w:rPr>
          <w:rFonts w:eastAsia="仿宋_GB2312"/>
          <w:szCs w:val="32"/>
        </w:rPr>
      </w:pPr>
      <w:r>
        <w:rPr>
          <w:rFonts w:hint="eastAsia" w:ascii="黑体" w:hAnsi="黑体" w:eastAsia="黑体" w:cs="黑体"/>
          <w:szCs w:val="32"/>
        </w:rPr>
        <w:t>第一条</w:t>
      </w:r>
      <w:r>
        <w:rPr>
          <w:rFonts w:hint="eastAsia" w:eastAsia="仿宋_GB2312"/>
          <w:szCs w:val="32"/>
        </w:rPr>
        <w:t>　为深入推进科学立法、民主立法、依法立法，丰富拓宽人民群众有序参与立法工作的方式和途径，加强和改进市人民政府基层立法联系点（以下简称立法联系点）工作，根据《中华人民共和国立法法》、《规章制定程序条例》等有关规定，结合本市实际，制定本细则。</w:t>
      </w:r>
    </w:p>
    <w:p w14:paraId="2D5C7A11">
      <w:pPr>
        <w:pStyle w:val="2"/>
        <w:ind w:firstLine="624" w:firstLineChars="200"/>
        <w:rPr>
          <w:rFonts w:eastAsia="仿宋_GB2312"/>
          <w:szCs w:val="32"/>
          <w:highlight w:val="yellow"/>
        </w:rPr>
      </w:pPr>
      <w:r>
        <w:rPr>
          <w:rFonts w:hint="eastAsia" w:ascii="黑体" w:hAnsi="黑体" w:eastAsia="黑体" w:cs="黑体"/>
          <w:szCs w:val="32"/>
        </w:rPr>
        <w:t>第二条</w:t>
      </w:r>
      <w:r>
        <w:rPr>
          <w:rFonts w:hint="eastAsia" w:eastAsia="仿宋_GB2312"/>
          <w:szCs w:val="32"/>
        </w:rPr>
        <w:t>　立法联系点的选定、管理等工作适用本细则。</w:t>
      </w:r>
    </w:p>
    <w:p w14:paraId="009020CB">
      <w:pPr>
        <w:pStyle w:val="2"/>
        <w:ind w:firstLine="624" w:firstLineChars="200"/>
        <w:rPr>
          <w:rFonts w:eastAsia="仿宋_GB2312"/>
          <w:szCs w:val="32"/>
          <w:highlight w:val="yellow"/>
        </w:rPr>
      </w:pPr>
      <w:r>
        <w:rPr>
          <w:rFonts w:hint="eastAsia" w:ascii="黑体" w:hAnsi="黑体" w:eastAsia="黑体" w:cs="黑体"/>
          <w:szCs w:val="32"/>
        </w:rPr>
        <w:t>第三条</w:t>
      </w:r>
      <w:r>
        <w:rPr>
          <w:rFonts w:hint="eastAsia" w:eastAsia="仿宋_GB2312"/>
          <w:szCs w:val="32"/>
        </w:rPr>
        <w:t>　本细则所称立法联系点，是指市人民政府根据政府立法工作和实践需要，在基层设立的协助收集和反映人民群众对政府立法工作意见的单位或者组织。</w:t>
      </w:r>
    </w:p>
    <w:p w14:paraId="633C2375">
      <w:pPr>
        <w:pStyle w:val="2"/>
        <w:ind w:firstLine="624" w:firstLineChars="200"/>
        <w:rPr>
          <w:rFonts w:eastAsia="仿宋_GB2312"/>
          <w:szCs w:val="32"/>
        </w:rPr>
      </w:pPr>
      <w:r>
        <w:rPr>
          <w:rFonts w:hint="eastAsia" w:ascii="黑体" w:hAnsi="黑体" w:eastAsia="黑体" w:cs="黑体"/>
          <w:szCs w:val="32"/>
        </w:rPr>
        <w:t>第四条</w:t>
      </w:r>
      <w:r>
        <w:rPr>
          <w:rFonts w:hint="eastAsia" w:eastAsia="仿宋_GB2312"/>
          <w:szCs w:val="32"/>
        </w:rPr>
        <w:t>　市司法局负责立法联系点的选定、指导和联系工作，组织立法联系点开展立法意见征集、立法调研等相关工作。</w:t>
      </w:r>
    </w:p>
    <w:p w14:paraId="10A7FA07">
      <w:pPr>
        <w:pStyle w:val="2"/>
        <w:ind w:firstLine="624" w:firstLineChars="200"/>
        <w:rPr>
          <w:rFonts w:eastAsia="仿宋_GB2312"/>
          <w:szCs w:val="32"/>
        </w:rPr>
      </w:pPr>
      <w:r>
        <w:rPr>
          <w:rFonts w:hint="eastAsia" w:eastAsia="仿宋_GB2312"/>
          <w:szCs w:val="32"/>
        </w:rPr>
        <w:t>市司法局及市有关部门在开展立法工作时，应当积极发挥立法联系点作用。</w:t>
      </w:r>
    </w:p>
    <w:p w14:paraId="6AC90A82">
      <w:pPr>
        <w:pStyle w:val="2"/>
        <w:ind w:firstLine="624" w:firstLineChars="200"/>
        <w:rPr>
          <w:rFonts w:eastAsia="仿宋_GB2312"/>
          <w:szCs w:val="32"/>
        </w:rPr>
      </w:pPr>
      <w:r>
        <w:rPr>
          <w:rFonts w:hint="eastAsia" w:eastAsia="仿宋_GB2312"/>
          <w:szCs w:val="32"/>
        </w:rPr>
        <w:t>市有关部门通过立法联系点征集立法意见、开展立法调研的，市司法局应当给予必要协助。</w:t>
      </w:r>
    </w:p>
    <w:p w14:paraId="3327EE29">
      <w:pPr>
        <w:pStyle w:val="2"/>
        <w:ind w:firstLine="624" w:firstLineChars="200"/>
        <w:rPr>
          <w:rFonts w:eastAsia="仿宋_GB2312"/>
          <w:szCs w:val="32"/>
        </w:rPr>
      </w:pPr>
      <w:r>
        <w:rPr>
          <w:rFonts w:hint="eastAsia" w:ascii="黑体" w:hAnsi="黑体" w:eastAsia="黑体" w:cs="黑体"/>
          <w:szCs w:val="32"/>
        </w:rPr>
        <w:t>第五条</w:t>
      </w:r>
      <w:r>
        <w:rPr>
          <w:rFonts w:hint="eastAsia" w:eastAsia="仿宋_GB2312"/>
          <w:szCs w:val="32"/>
        </w:rPr>
        <w:t>　立法联系点应当具备下列条件：</w:t>
      </w:r>
    </w:p>
    <w:p w14:paraId="4F929AB6">
      <w:pPr>
        <w:pStyle w:val="2"/>
        <w:ind w:firstLine="624" w:firstLineChars="200"/>
        <w:rPr>
          <w:rFonts w:eastAsia="仿宋_GB2312"/>
          <w:szCs w:val="32"/>
        </w:rPr>
      </w:pPr>
      <w:r>
        <w:rPr>
          <w:rFonts w:hint="eastAsia" w:eastAsia="仿宋_GB2312"/>
          <w:szCs w:val="32"/>
        </w:rPr>
        <w:t>（一）坚持正确的政治方向，拥护中国共产党领导，模范遵守宪法和法律法规；</w:t>
      </w:r>
    </w:p>
    <w:p w14:paraId="1A2C30D4">
      <w:pPr>
        <w:pStyle w:val="2"/>
        <w:ind w:firstLine="624" w:firstLineChars="200"/>
        <w:rPr>
          <w:rFonts w:eastAsia="仿宋_GB2312"/>
          <w:szCs w:val="32"/>
        </w:rPr>
      </w:pPr>
      <w:r>
        <w:rPr>
          <w:rFonts w:hint="eastAsia" w:eastAsia="仿宋_GB2312"/>
          <w:szCs w:val="32"/>
        </w:rPr>
        <w:t>（二）密切联系群众，熟悉社情、民情，具有较强的区域和行业代表性，有主动参与政府立法工作的意愿；</w:t>
      </w:r>
    </w:p>
    <w:p w14:paraId="4042D6FA">
      <w:pPr>
        <w:pStyle w:val="2"/>
        <w:ind w:firstLine="624" w:firstLineChars="200"/>
        <w:rPr>
          <w:rFonts w:eastAsia="仿宋_GB2312"/>
          <w:szCs w:val="32"/>
        </w:rPr>
      </w:pPr>
      <w:r>
        <w:rPr>
          <w:rFonts w:hint="eastAsia" w:eastAsia="仿宋_GB2312"/>
          <w:szCs w:val="32"/>
        </w:rPr>
        <w:t>（三）具有熟悉法律知识、具备法治工作能力和经验的人员，能够及时组织开展工作，安排人员参加各类立法活动；</w:t>
      </w:r>
    </w:p>
    <w:p w14:paraId="26F8EBB3">
      <w:pPr>
        <w:pStyle w:val="2"/>
        <w:ind w:firstLine="624" w:firstLineChars="200"/>
        <w:rPr>
          <w:rFonts w:eastAsia="仿宋_GB2312"/>
          <w:szCs w:val="32"/>
        </w:rPr>
      </w:pPr>
      <w:r>
        <w:rPr>
          <w:rFonts w:hint="eastAsia" w:eastAsia="仿宋_GB2312"/>
          <w:szCs w:val="32"/>
        </w:rPr>
        <w:t>（四）具有开展工作的固定场所和办公设施。</w:t>
      </w:r>
    </w:p>
    <w:p w14:paraId="137BF069">
      <w:pPr>
        <w:pStyle w:val="2"/>
        <w:ind w:firstLine="624" w:firstLineChars="200"/>
        <w:rPr>
          <w:rFonts w:eastAsia="仿宋_GB2312"/>
          <w:szCs w:val="32"/>
        </w:rPr>
      </w:pPr>
      <w:r>
        <w:rPr>
          <w:rFonts w:hint="eastAsia" w:ascii="黑体" w:hAnsi="黑体" w:eastAsia="黑体" w:cs="黑体"/>
          <w:szCs w:val="32"/>
        </w:rPr>
        <w:t>第六条</w:t>
      </w:r>
      <w:r>
        <w:rPr>
          <w:rFonts w:hint="eastAsia" w:eastAsia="仿宋_GB2312"/>
          <w:szCs w:val="32"/>
        </w:rPr>
        <w:t>　立法联系点主要在本市以下单位和组织中选取：</w:t>
      </w:r>
    </w:p>
    <w:p w14:paraId="40762C8E">
      <w:pPr>
        <w:pStyle w:val="2"/>
        <w:ind w:firstLine="624" w:firstLineChars="200"/>
        <w:rPr>
          <w:rFonts w:eastAsia="仿宋_GB2312"/>
          <w:szCs w:val="32"/>
        </w:rPr>
      </w:pPr>
      <w:r>
        <w:rPr>
          <w:rFonts w:hint="eastAsia" w:eastAsia="仿宋_GB2312"/>
          <w:szCs w:val="32"/>
        </w:rPr>
        <w:t>（一）乡镇人民政府、街道办事处；</w:t>
      </w:r>
    </w:p>
    <w:p w14:paraId="7AEFCEE0">
      <w:pPr>
        <w:pStyle w:val="2"/>
        <w:ind w:firstLine="624" w:firstLineChars="200"/>
        <w:rPr>
          <w:rFonts w:eastAsia="仿宋_GB2312"/>
          <w:szCs w:val="32"/>
        </w:rPr>
      </w:pPr>
      <w:r>
        <w:rPr>
          <w:rFonts w:hint="eastAsia" w:eastAsia="仿宋_GB2312"/>
          <w:szCs w:val="32"/>
        </w:rPr>
        <w:t>（二）基层群众性自治组织；</w:t>
      </w:r>
    </w:p>
    <w:p w14:paraId="14125A44">
      <w:pPr>
        <w:pStyle w:val="2"/>
        <w:ind w:firstLine="624" w:firstLineChars="200"/>
        <w:rPr>
          <w:rFonts w:eastAsia="仿宋_GB2312"/>
          <w:szCs w:val="32"/>
        </w:rPr>
      </w:pPr>
      <w:r>
        <w:rPr>
          <w:rFonts w:hint="eastAsia" w:eastAsia="仿宋_GB2312"/>
          <w:szCs w:val="32"/>
        </w:rPr>
        <w:t>（三）高等院校、科研机构、法律服务机构；</w:t>
      </w:r>
    </w:p>
    <w:p w14:paraId="1B80609B">
      <w:pPr>
        <w:pStyle w:val="2"/>
        <w:ind w:firstLine="624" w:firstLineChars="200"/>
        <w:rPr>
          <w:rFonts w:eastAsia="仿宋_GB2312"/>
          <w:szCs w:val="32"/>
        </w:rPr>
      </w:pPr>
      <w:r>
        <w:rPr>
          <w:rFonts w:hint="eastAsia" w:eastAsia="仿宋_GB2312"/>
          <w:szCs w:val="32"/>
        </w:rPr>
        <w:t>（四）各类企业；</w:t>
      </w:r>
    </w:p>
    <w:p w14:paraId="3FB6DFEA">
      <w:pPr>
        <w:pStyle w:val="2"/>
        <w:ind w:firstLine="624" w:firstLineChars="200"/>
        <w:rPr>
          <w:rFonts w:eastAsia="仿宋_GB2312"/>
          <w:szCs w:val="32"/>
        </w:rPr>
      </w:pPr>
      <w:r>
        <w:rPr>
          <w:rFonts w:hint="eastAsia" w:eastAsia="仿宋_GB2312"/>
          <w:szCs w:val="32"/>
        </w:rPr>
        <w:t>（五）行业协会、商会、学会等社会组织；</w:t>
      </w:r>
    </w:p>
    <w:p w14:paraId="5284476A">
      <w:pPr>
        <w:pStyle w:val="2"/>
        <w:ind w:firstLine="624" w:firstLineChars="200"/>
        <w:rPr>
          <w:rFonts w:eastAsia="仿宋_GB2312"/>
          <w:szCs w:val="32"/>
        </w:rPr>
      </w:pPr>
      <w:r>
        <w:rPr>
          <w:rFonts w:hint="eastAsia" w:eastAsia="仿宋_GB2312"/>
          <w:szCs w:val="32"/>
        </w:rPr>
        <w:t>（六）其他基层单位或组织。</w:t>
      </w:r>
    </w:p>
    <w:p w14:paraId="722ABD94">
      <w:pPr>
        <w:pStyle w:val="2"/>
        <w:ind w:firstLine="624" w:firstLineChars="200"/>
        <w:rPr>
          <w:rFonts w:eastAsia="仿宋_GB2312"/>
          <w:szCs w:val="32"/>
        </w:rPr>
      </w:pPr>
      <w:r>
        <w:rPr>
          <w:rFonts w:hint="eastAsia" w:ascii="黑体" w:hAnsi="黑体" w:eastAsia="黑体" w:cs="黑体"/>
          <w:szCs w:val="32"/>
        </w:rPr>
        <w:t>第七条</w:t>
      </w:r>
      <w:r>
        <w:rPr>
          <w:rFonts w:hint="eastAsia" w:eastAsia="仿宋_GB2312"/>
          <w:szCs w:val="32"/>
        </w:rPr>
        <w:t>　设立立法联系点，一般由市有关部门、区司法局等向市司法局推荐候选单位，有关单位或者组织也可以自行提出申请。</w:t>
      </w:r>
    </w:p>
    <w:p w14:paraId="765AC071">
      <w:pPr>
        <w:pStyle w:val="2"/>
        <w:ind w:firstLine="624" w:firstLineChars="200"/>
        <w:rPr>
          <w:rFonts w:eastAsia="仿宋_GB2312"/>
          <w:szCs w:val="32"/>
        </w:rPr>
      </w:pPr>
      <w:r>
        <w:rPr>
          <w:rFonts w:hint="eastAsia" w:eastAsia="仿宋_GB2312"/>
          <w:szCs w:val="32"/>
        </w:rPr>
        <w:t>市司法局通过材料评审、实地调研等方式，综合考量候选单位的建点条件、合理分布等因素选定立法联系点，并向社会公布。</w:t>
      </w:r>
    </w:p>
    <w:p w14:paraId="54E6062F">
      <w:pPr>
        <w:pStyle w:val="2"/>
        <w:ind w:firstLine="624" w:firstLineChars="200"/>
        <w:rPr>
          <w:rFonts w:eastAsia="仿宋_GB2312"/>
          <w:szCs w:val="32"/>
        </w:rPr>
      </w:pPr>
      <w:r>
        <w:rPr>
          <w:rFonts w:hint="eastAsia" w:eastAsia="仿宋_GB2312"/>
          <w:szCs w:val="32"/>
        </w:rPr>
        <w:t>立法联系点的具体数量，由市司法局根据实际情况确定并动态调整。</w:t>
      </w:r>
    </w:p>
    <w:p w14:paraId="671B5692">
      <w:pPr>
        <w:pStyle w:val="2"/>
        <w:ind w:firstLine="624" w:firstLineChars="200"/>
        <w:rPr>
          <w:rFonts w:eastAsia="仿宋_GB2312"/>
          <w:szCs w:val="32"/>
        </w:rPr>
      </w:pPr>
      <w:r>
        <w:rPr>
          <w:rFonts w:hint="eastAsia" w:ascii="黑体" w:hAnsi="黑体" w:eastAsia="黑体" w:cs="黑体"/>
          <w:szCs w:val="32"/>
        </w:rPr>
        <w:t>第八条</w:t>
      </w:r>
      <w:r>
        <w:rPr>
          <w:rFonts w:hint="eastAsia" w:eastAsia="仿宋_GB2312"/>
          <w:szCs w:val="32"/>
        </w:rPr>
        <w:t>　立法联系点主要负责下列工作：</w:t>
      </w:r>
    </w:p>
    <w:p w14:paraId="2ED689E7">
      <w:pPr>
        <w:pStyle w:val="2"/>
        <w:ind w:firstLine="624" w:firstLineChars="200"/>
        <w:rPr>
          <w:rFonts w:eastAsia="仿宋_GB2312"/>
          <w:szCs w:val="32"/>
        </w:rPr>
      </w:pPr>
      <w:r>
        <w:rPr>
          <w:rFonts w:hint="eastAsia" w:eastAsia="仿宋_GB2312"/>
          <w:szCs w:val="32"/>
        </w:rPr>
        <w:t>（一）组织征集对市人民政府立法规划和立法计划草案的意见，根据需要组织开展立法前期调研，提出制定、修改、废止相关地方性法规、政府规章的意见；</w:t>
      </w:r>
    </w:p>
    <w:p w14:paraId="05065311">
      <w:pPr>
        <w:pStyle w:val="2"/>
        <w:ind w:firstLine="624" w:firstLineChars="200"/>
        <w:rPr>
          <w:rFonts w:eastAsia="仿宋_GB2312"/>
          <w:szCs w:val="32"/>
        </w:rPr>
      </w:pPr>
      <w:r>
        <w:rPr>
          <w:rFonts w:hint="eastAsia" w:eastAsia="仿宋_GB2312"/>
          <w:szCs w:val="32"/>
        </w:rPr>
        <w:t>（二）收集和反映对地方性法规、政府规章草案提出的意见，组织和参与有关立法调研、立法听证、立法座谈、民意调查等活动；</w:t>
      </w:r>
    </w:p>
    <w:p w14:paraId="1E70DCB5">
      <w:pPr>
        <w:pStyle w:val="2"/>
        <w:ind w:firstLine="624" w:firstLineChars="200"/>
        <w:rPr>
          <w:rFonts w:eastAsia="仿宋_GB2312"/>
          <w:szCs w:val="32"/>
        </w:rPr>
      </w:pPr>
      <w:r>
        <w:rPr>
          <w:rFonts w:hint="eastAsia" w:eastAsia="仿宋_GB2312"/>
          <w:szCs w:val="32"/>
        </w:rPr>
        <w:t>（三）收集整理地方性法规、政府规章施行过程中的意见，协助开展立法后评估工作；</w:t>
      </w:r>
    </w:p>
    <w:p w14:paraId="6245BFAB">
      <w:pPr>
        <w:pStyle w:val="2"/>
        <w:ind w:firstLine="624" w:firstLineChars="200"/>
        <w:rPr>
          <w:rFonts w:eastAsia="仿宋_GB2312"/>
          <w:szCs w:val="32"/>
        </w:rPr>
      </w:pPr>
      <w:r>
        <w:rPr>
          <w:rFonts w:hint="eastAsia" w:eastAsia="仿宋_GB2312"/>
          <w:szCs w:val="32"/>
        </w:rPr>
        <w:t>（四）收集和反映其他有关政府立法工作的意见。</w:t>
      </w:r>
    </w:p>
    <w:p w14:paraId="01ED4123">
      <w:pPr>
        <w:pStyle w:val="2"/>
        <w:ind w:firstLine="624" w:firstLineChars="200"/>
        <w:rPr>
          <w:rFonts w:eastAsia="仿宋_GB2312"/>
          <w:szCs w:val="32"/>
        </w:rPr>
      </w:pPr>
      <w:r>
        <w:rPr>
          <w:rFonts w:hint="eastAsia" w:eastAsia="仿宋_GB2312"/>
          <w:szCs w:val="32"/>
        </w:rPr>
        <w:t>市司法局可以根据立法工作需要，在符合保密规定的前提下，就国家有关部委向本市征求意见的法律、行政法规草案，向立法联系点征求意见。</w:t>
      </w:r>
    </w:p>
    <w:p w14:paraId="4E51D696">
      <w:pPr>
        <w:pStyle w:val="2"/>
        <w:ind w:firstLine="624" w:firstLineChars="200"/>
        <w:rPr>
          <w:rFonts w:eastAsia="仿宋_GB2312"/>
          <w:szCs w:val="32"/>
        </w:rPr>
      </w:pPr>
      <w:r>
        <w:rPr>
          <w:rFonts w:hint="eastAsia" w:ascii="黑体" w:hAnsi="黑体" w:eastAsia="黑体" w:cs="黑体"/>
          <w:szCs w:val="32"/>
        </w:rPr>
        <w:t>第九条</w:t>
      </w:r>
      <w:r>
        <w:rPr>
          <w:rFonts w:hint="eastAsia" w:eastAsia="仿宋_GB2312"/>
          <w:szCs w:val="32"/>
        </w:rPr>
        <w:t>　立法联系点应当明确具体的负责人和工作人员，并提供必要的工作保障。立法联系点调整负责人和工作人员的，应当在调整后7个工作日内告知市司法局。</w:t>
      </w:r>
    </w:p>
    <w:p w14:paraId="3E48CBBF">
      <w:pPr>
        <w:pStyle w:val="2"/>
        <w:ind w:firstLine="624" w:firstLineChars="200"/>
        <w:rPr>
          <w:rFonts w:eastAsia="仿宋_GB2312"/>
          <w:szCs w:val="32"/>
        </w:rPr>
      </w:pPr>
      <w:r>
        <w:rPr>
          <w:rFonts w:hint="eastAsia" w:eastAsia="仿宋_GB2312"/>
          <w:szCs w:val="32"/>
        </w:rPr>
        <w:t>立法联系点应当通过适当形式公布其工作职责、工作人员、联系方式、意见收集方式等，便于基层群众知晓。</w:t>
      </w:r>
    </w:p>
    <w:p w14:paraId="32CFB252">
      <w:pPr>
        <w:pStyle w:val="2"/>
        <w:ind w:firstLine="624" w:firstLineChars="200"/>
        <w:rPr>
          <w:rFonts w:eastAsia="仿宋_GB2312"/>
          <w:szCs w:val="32"/>
        </w:rPr>
      </w:pPr>
      <w:r>
        <w:rPr>
          <w:rFonts w:hint="eastAsia" w:eastAsia="仿宋_GB2312"/>
          <w:szCs w:val="32"/>
        </w:rPr>
        <w:t>立法联系点应当结合实际，注意吸收一批具有实践经验、热心立法事业的人员，组建相对固定的立法联络员或者信息员队伍；可以根据工作需要向外向下延伸，确定立法联系单位，作为收集立法意见渠道。</w:t>
      </w:r>
    </w:p>
    <w:p w14:paraId="7636A086">
      <w:pPr>
        <w:pStyle w:val="2"/>
        <w:ind w:firstLine="624" w:firstLineChars="200"/>
        <w:rPr>
          <w:rFonts w:eastAsia="仿宋_GB2312"/>
          <w:szCs w:val="32"/>
        </w:rPr>
      </w:pPr>
      <w:r>
        <w:rPr>
          <w:rFonts w:hint="eastAsia" w:ascii="黑体" w:hAnsi="黑体" w:eastAsia="黑体" w:cs="黑体"/>
          <w:szCs w:val="32"/>
        </w:rPr>
        <w:t>第十条</w:t>
      </w:r>
      <w:r>
        <w:rPr>
          <w:rFonts w:hint="eastAsia" w:eastAsia="仿宋_GB2312"/>
          <w:szCs w:val="32"/>
        </w:rPr>
        <w:t>　立法联系点根据工作需要，可以采取实地调研、座谈交流、问卷调查等线下方式和手机客户端、微信公众号等线上方式，广泛征集基层群众意见。</w:t>
      </w:r>
    </w:p>
    <w:p w14:paraId="5FA7D963">
      <w:pPr>
        <w:pStyle w:val="2"/>
        <w:ind w:firstLine="624" w:firstLineChars="200"/>
        <w:rPr>
          <w:rFonts w:eastAsia="仿宋_GB2312"/>
          <w:szCs w:val="32"/>
          <w:highlight w:val="yellow"/>
        </w:rPr>
      </w:pPr>
      <w:r>
        <w:rPr>
          <w:rFonts w:hint="eastAsia" w:eastAsia="仿宋_GB2312"/>
          <w:szCs w:val="32"/>
        </w:rPr>
        <w:t>立法联系点应当如实反映基层群众的立法意见，将征集到的立法意见归纳整理后，以书面形式报送市司法局或市有关部门。</w:t>
      </w:r>
    </w:p>
    <w:p w14:paraId="5DEE4553">
      <w:pPr>
        <w:pStyle w:val="2"/>
        <w:ind w:firstLine="624" w:firstLineChars="200"/>
        <w:rPr>
          <w:rFonts w:eastAsia="仿宋_GB2312"/>
          <w:szCs w:val="32"/>
        </w:rPr>
      </w:pPr>
      <w:r>
        <w:rPr>
          <w:rFonts w:hint="eastAsia" w:ascii="黑体" w:hAnsi="黑体" w:eastAsia="黑体" w:cs="黑体"/>
          <w:szCs w:val="32"/>
        </w:rPr>
        <w:t>第十一条</w:t>
      </w:r>
      <w:r>
        <w:rPr>
          <w:rFonts w:hint="eastAsia" w:eastAsia="仿宋_GB2312"/>
          <w:szCs w:val="32"/>
        </w:rPr>
        <w:t>　市司法局以及市有关部门应当认真研究立法联系点提出的立法意见，能采纳的尽量采纳，并将研究采纳情况通过一定形式及时向立法联系点反馈。</w:t>
      </w:r>
    </w:p>
    <w:p w14:paraId="41AF6840">
      <w:pPr>
        <w:pStyle w:val="2"/>
        <w:ind w:firstLine="624" w:firstLineChars="200"/>
        <w:rPr>
          <w:rFonts w:eastAsia="仿宋_GB2312"/>
          <w:szCs w:val="32"/>
        </w:rPr>
      </w:pPr>
      <w:r>
        <w:rPr>
          <w:rFonts w:hint="eastAsia" w:ascii="黑体" w:hAnsi="黑体" w:eastAsia="黑体" w:cs="黑体"/>
          <w:szCs w:val="32"/>
        </w:rPr>
        <w:t>第十二条</w:t>
      </w:r>
      <w:r>
        <w:rPr>
          <w:rFonts w:hint="eastAsia" w:eastAsia="仿宋_GB2312"/>
          <w:szCs w:val="32"/>
        </w:rPr>
        <w:t>　市司法局可以通过向立法联系点发放法律书籍、立法工作资料，邀请立法联系点负责人及工作人员参加立法培训，不定期举办立法联系点工作经验交流会等多种形式，为立法联系点提供必要的指导、支持和帮助。</w:t>
      </w:r>
    </w:p>
    <w:p w14:paraId="40F3D9EB">
      <w:pPr>
        <w:pStyle w:val="2"/>
        <w:ind w:firstLine="624" w:firstLineChars="200"/>
        <w:rPr>
          <w:rFonts w:eastAsia="仿宋_GB2312"/>
          <w:szCs w:val="32"/>
        </w:rPr>
      </w:pPr>
      <w:r>
        <w:rPr>
          <w:rFonts w:hint="eastAsia" w:eastAsia="仿宋_GB2312"/>
          <w:szCs w:val="32"/>
        </w:rPr>
        <w:t>区司法局应当为立法联系点履行工作职责提供必要的协助。</w:t>
      </w:r>
    </w:p>
    <w:p w14:paraId="454A503B">
      <w:pPr>
        <w:pStyle w:val="2"/>
        <w:ind w:firstLine="624" w:firstLineChars="200"/>
        <w:rPr>
          <w:rFonts w:eastAsia="仿宋_GB2312"/>
          <w:szCs w:val="32"/>
          <w:highlight w:val="yellow"/>
        </w:rPr>
      </w:pPr>
      <w:r>
        <w:rPr>
          <w:rFonts w:hint="eastAsia" w:ascii="黑体" w:hAnsi="黑体" w:eastAsia="黑体" w:cs="黑体"/>
          <w:szCs w:val="32"/>
        </w:rPr>
        <w:t>第十三条</w:t>
      </w:r>
      <w:r>
        <w:rPr>
          <w:rFonts w:hint="eastAsia" w:eastAsia="仿宋_GB2312"/>
          <w:szCs w:val="32"/>
        </w:rPr>
        <w:t>　市司法局应当适时对立法联系点工作进行评估总结，对工作成效突出的立法联系点给予表扬，对存在问题和不足的提出改进要求。</w:t>
      </w:r>
    </w:p>
    <w:p w14:paraId="5B9499E2">
      <w:pPr>
        <w:pStyle w:val="2"/>
        <w:ind w:firstLine="624" w:firstLineChars="200"/>
        <w:rPr>
          <w:rFonts w:eastAsia="仿宋_GB2312"/>
          <w:szCs w:val="32"/>
          <w:highlight w:val="yellow"/>
        </w:rPr>
      </w:pPr>
      <w:r>
        <w:rPr>
          <w:rFonts w:hint="eastAsia" w:eastAsia="仿宋_GB2312"/>
          <w:szCs w:val="32"/>
        </w:rPr>
        <w:t>立法联系点不得以立法征询等名义牟利，不得泄露国家秘密、商业秘密和个人隐私。</w:t>
      </w:r>
    </w:p>
    <w:p w14:paraId="17F5FDA9">
      <w:pPr>
        <w:pStyle w:val="2"/>
        <w:ind w:firstLine="624" w:firstLineChars="200"/>
        <w:rPr>
          <w:rFonts w:eastAsia="仿宋_GB2312"/>
          <w:szCs w:val="32"/>
        </w:rPr>
      </w:pPr>
      <w:r>
        <w:rPr>
          <w:rFonts w:hint="eastAsia" w:ascii="黑体" w:hAnsi="黑体" w:eastAsia="黑体" w:cs="黑体"/>
          <w:szCs w:val="32"/>
        </w:rPr>
        <w:t>第十四条</w:t>
      </w:r>
      <w:r>
        <w:rPr>
          <w:rFonts w:hint="eastAsia" w:eastAsia="仿宋_GB2312"/>
          <w:szCs w:val="32"/>
        </w:rPr>
        <w:t>　本细则自印发之日起施行。</w:t>
      </w:r>
    </w:p>
    <w:p w14:paraId="170410A3">
      <w:pPr>
        <w:pStyle w:val="2"/>
        <w:rPr>
          <w:rFonts w:eastAsia="仿宋_GB2312"/>
          <w:szCs w:val="32"/>
        </w:rPr>
      </w:pPr>
    </w:p>
    <w:p w14:paraId="701E6B5D">
      <w:pPr>
        <w:pStyle w:val="2"/>
        <w:ind w:firstLine="624" w:firstLineChars="200"/>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附件：天津市人民政府基层立法联系点名单</w:t>
      </w:r>
    </w:p>
    <w:p w14:paraId="2C69D9BA">
      <w:pPr>
        <w:pStyle w:val="2"/>
        <w:rPr>
          <w:rFonts w:ascii="黑体" w:hAnsi="黑体" w:eastAsia="黑体" w:cs="黑体"/>
          <w:szCs w:val="32"/>
        </w:rPr>
      </w:pPr>
      <w:r>
        <w:rPr>
          <w:rFonts w:hint="eastAsia" w:ascii="黑体" w:hAnsi="黑体" w:eastAsia="黑体" w:cs="黑体"/>
          <w:szCs w:val="32"/>
        </w:rPr>
        <w:t>附件</w:t>
      </w:r>
    </w:p>
    <w:p w14:paraId="66F1AB13">
      <w:pPr>
        <w:pStyle w:val="2"/>
        <w:spacing w:line="740" w:lineRule="exact"/>
        <w:rPr>
          <w:rFonts w:eastAsia="仿宋_GB2312"/>
          <w:szCs w:val="32"/>
        </w:rPr>
      </w:pPr>
    </w:p>
    <w:p w14:paraId="2F2F125F">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天津市人民政府基层立法联系点名单</w:t>
      </w:r>
    </w:p>
    <w:p w14:paraId="2CF9BD66">
      <w:pPr>
        <w:pStyle w:val="2"/>
        <w:jc w:val="center"/>
        <w:rPr>
          <w:rFonts w:ascii="楷体_GB2312" w:hAnsi="楷体_GB2312" w:eastAsia="楷体_GB2312" w:cs="楷体_GB2312"/>
          <w:szCs w:val="32"/>
        </w:rPr>
      </w:pPr>
      <w:r>
        <w:rPr>
          <w:rFonts w:hint="eastAsia" w:ascii="楷体_GB2312" w:hAnsi="楷体_GB2312" w:eastAsia="楷体_GB2312" w:cs="楷体_GB2312"/>
          <w:szCs w:val="32"/>
        </w:rPr>
        <w:t>（排名不分先后）</w:t>
      </w:r>
    </w:p>
    <w:p w14:paraId="64B862FE">
      <w:pPr>
        <w:pStyle w:val="2"/>
        <w:spacing w:line="700" w:lineRule="exact"/>
        <w:rPr>
          <w:rFonts w:eastAsia="仿宋_GB2312"/>
          <w:szCs w:val="32"/>
        </w:rPr>
      </w:pPr>
    </w:p>
    <w:p w14:paraId="587AB95F">
      <w:pPr>
        <w:pStyle w:val="2"/>
        <w:ind w:firstLine="624" w:firstLineChars="200"/>
        <w:rPr>
          <w:rFonts w:eastAsia="仿宋_GB2312"/>
          <w:szCs w:val="32"/>
        </w:rPr>
      </w:pPr>
      <w:r>
        <w:rPr>
          <w:rFonts w:hint="eastAsia" w:eastAsia="仿宋_GB2312"/>
          <w:szCs w:val="32"/>
        </w:rPr>
        <w:t>1．中国（天津）自由贸易试验区政策与产业创新发展局</w:t>
      </w:r>
    </w:p>
    <w:p w14:paraId="05F4E32E">
      <w:pPr>
        <w:pStyle w:val="2"/>
        <w:ind w:firstLine="624" w:firstLineChars="200"/>
        <w:rPr>
          <w:rFonts w:eastAsia="仿宋_GB2312"/>
          <w:szCs w:val="32"/>
        </w:rPr>
      </w:pPr>
      <w:r>
        <w:rPr>
          <w:rFonts w:hint="eastAsia" w:eastAsia="仿宋_GB2312"/>
          <w:szCs w:val="32"/>
        </w:rPr>
        <w:t>2．天津市中小企业经济发展协会</w:t>
      </w:r>
    </w:p>
    <w:p w14:paraId="43CB05FF">
      <w:pPr>
        <w:pStyle w:val="2"/>
        <w:ind w:firstLine="624" w:firstLineChars="200"/>
        <w:rPr>
          <w:rFonts w:eastAsia="仿宋_GB2312"/>
          <w:szCs w:val="32"/>
        </w:rPr>
      </w:pPr>
      <w:r>
        <w:rPr>
          <w:rFonts w:hint="eastAsia" w:eastAsia="仿宋_GB2312"/>
          <w:szCs w:val="32"/>
        </w:rPr>
        <w:t>3．天津天开发展集团有限公司</w:t>
      </w:r>
    </w:p>
    <w:p w14:paraId="65B6956C">
      <w:pPr>
        <w:pStyle w:val="2"/>
        <w:ind w:firstLine="624" w:firstLineChars="200"/>
        <w:rPr>
          <w:rFonts w:eastAsia="仿宋_GB2312"/>
          <w:szCs w:val="32"/>
        </w:rPr>
      </w:pPr>
      <w:r>
        <w:rPr>
          <w:rFonts w:hint="eastAsia" w:eastAsia="仿宋_GB2312"/>
          <w:szCs w:val="32"/>
        </w:rPr>
        <w:t>4．天津市滨海新区司法局塘沽司法所</w:t>
      </w:r>
    </w:p>
    <w:p w14:paraId="57DA8750">
      <w:pPr>
        <w:pStyle w:val="2"/>
        <w:ind w:firstLine="624" w:firstLineChars="200"/>
        <w:rPr>
          <w:rFonts w:eastAsia="仿宋_GB2312"/>
          <w:szCs w:val="32"/>
        </w:rPr>
      </w:pPr>
      <w:r>
        <w:rPr>
          <w:rFonts w:hint="eastAsia" w:eastAsia="仿宋_GB2312"/>
          <w:szCs w:val="32"/>
        </w:rPr>
        <w:t>5．天津市红桥区司法局和苑司法所</w:t>
      </w:r>
    </w:p>
    <w:p w14:paraId="7463C96B">
      <w:pPr>
        <w:pStyle w:val="2"/>
        <w:ind w:firstLine="624" w:firstLineChars="200"/>
        <w:rPr>
          <w:rFonts w:eastAsia="仿宋_GB2312"/>
          <w:szCs w:val="32"/>
        </w:rPr>
      </w:pPr>
      <w:r>
        <w:rPr>
          <w:rFonts w:hint="eastAsia" w:eastAsia="仿宋_GB2312"/>
          <w:szCs w:val="32"/>
        </w:rPr>
        <w:t>6．天津市河东区春华街道新天地家园社区居民委员会</w:t>
      </w:r>
    </w:p>
    <w:p w14:paraId="3AD387A8">
      <w:pPr>
        <w:pStyle w:val="2"/>
        <w:ind w:firstLine="624" w:firstLineChars="200"/>
        <w:rPr>
          <w:rFonts w:eastAsia="仿宋_GB2312"/>
          <w:szCs w:val="32"/>
        </w:rPr>
      </w:pPr>
      <w:r>
        <w:rPr>
          <w:rFonts w:hint="eastAsia" w:eastAsia="仿宋_GB2312"/>
          <w:szCs w:val="32"/>
        </w:rPr>
        <w:t>7．中华人民共和国大港海事局</w:t>
      </w:r>
    </w:p>
    <w:p w14:paraId="20A8A42F">
      <w:pPr>
        <w:pStyle w:val="2"/>
        <w:ind w:firstLine="624" w:firstLineChars="200"/>
        <w:rPr>
          <w:rFonts w:eastAsia="仿宋_GB2312"/>
          <w:szCs w:val="32"/>
        </w:rPr>
      </w:pPr>
      <w:r>
        <w:rPr>
          <w:rFonts w:hint="eastAsia" w:eastAsia="仿宋_GB2312"/>
          <w:szCs w:val="32"/>
        </w:rPr>
        <w:t>8．天津市河西区马场街市场监督管理所</w:t>
      </w:r>
    </w:p>
    <w:p w14:paraId="5210CF08">
      <w:pPr>
        <w:pStyle w:val="2"/>
        <w:ind w:firstLine="624" w:firstLineChars="200"/>
        <w:rPr>
          <w:rFonts w:eastAsia="仿宋_GB2312"/>
          <w:szCs w:val="32"/>
        </w:rPr>
      </w:pPr>
      <w:r>
        <w:rPr>
          <w:rFonts w:hint="eastAsia" w:eastAsia="仿宋_GB2312"/>
          <w:szCs w:val="32"/>
        </w:rPr>
        <w:t>9．天津益建律师事务所</w:t>
      </w:r>
    </w:p>
    <w:p w14:paraId="47A8303A">
      <w:pPr>
        <w:pStyle w:val="2"/>
        <w:ind w:firstLine="624" w:firstLineChars="200"/>
        <w:rPr>
          <w:rFonts w:eastAsia="仿宋_GB2312"/>
          <w:szCs w:val="32"/>
        </w:rPr>
      </w:pPr>
      <w:r>
        <w:rPr>
          <w:rFonts w:hint="eastAsia" w:eastAsia="仿宋_GB2312"/>
          <w:szCs w:val="32"/>
        </w:rPr>
        <w:t>10．天津大有律师事务所</w:t>
      </w:r>
    </w:p>
    <w:p w14:paraId="704C1F23">
      <w:pPr>
        <w:pStyle w:val="2"/>
        <w:ind w:firstLine="624" w:firstLineChars="200"/>
        <w:rPr>
          <w:rFonts w:eastAsia="仿宋_GB2312"/>
          <w:szCs w:val="32"/>
        </w:rPr>
      </w:pPr>
      <w:r>
        <w:rPr>
          <w:rFonts w:hint="eastAsia" w:eastAsia="仿宋_GB2312"/>
          <w:szCs w:val="32"/>
        </w:rPr>
        <w:t>11．天津市西青区杨柳青镇人民政府</w:t>
      </w:r>
    </w:p>
    <w:p w14:paraId="06980A3C">
      <w:pPr>
        <w:pStyle w:val="2"/>
        <w:ind w:firstLine="624" w:firstLineChars="200"/>
        <w:rPr>
          <w:rFonts w:eastAsia="仿宋_GB2312"/>
          <w:szCs w:val="32"/>
        </w:rPr>
      </w:pPr>
      <w:r>
        <w:rPr>
          <w:rFonts w:hint="eastAsia" w:eastAsia="仿宋_GB2312"/>
          <w:szCs w:val="32"/>
        </w:rPr>
        <w:t>12．天津市教育科学研究院教育法治与发展规划研究所</w:t>
      </w:r>
    </w:p>
    <w:p w14:paraId="6FB9F783">
      <w:pPr>
        <w:pStyle w:val="2"/>
        <w:ind w:firstLine="624" w:firstLineChars="200"/>
        <w:rPr>
          <w:rFonts w:eastAsia="仿宋_GB2312"/>
          <w:szCs w:val="32"/>
        </w:rPr>
      </w:pPr>
      <w:r>
        <w:rPr>
          <w:rFonts w:hint="eastAsia" w:eastAsia="仿宋_GB2312"/>
          <w:szCs w:val="32"/>
        </w:rPr>
        <w:t>13．</w:t>
      </w:r>
      <w:r>
        <w:rPr>
          <w:rFonts w:hint="eastAsia" w:eastAsia="仿宋_GB2312"/>
          <w:spacing w:val="-11"/>
          <w:szCs w:val="32"/>
        </w:rPr>
        <w:t>天津市引进人才综合服务中心（天津市居住证积分服务中心）</w:t>
      </w:r>
    </w:p>
    <w:p w14:paraId="615464C0">
      <w:pPr>
        <w:pStyle w:val="2"/>
        <w:ind w:firstLine="624" w:firstLineChars="200"/>
        <w:rPr>
          <w:rFonts w:eastAsia="仿宋_GB2312"/>
          <w:szCs w:val="32"/>
        </w:rPr>
      </w:pPr>
      <w:r>
        <w:rPr>
          <w:rFonts w:hint="eastAsia" w:eastAsia="仿宋_GB2312"/>
          <w:szCs w:val="32"/>
        </w:rPr>
        <w:t>14．天津市宁河区生态环境保护综合行政执法支队</w:t>
      </w:r>
    </w:p>
    <w:p w14:paraId="620FD360">
      <w:pPr>
        <w:pStyle w:val="2"/>
        <w:ind w:firstLine="624" w:firstLineChars="200"/>
        <w:rPr>
          <w:rFonts w:eastAsia="仿宋_GB2312"/>
          <w:szCs w:val="32"/>
        </w:rPr>
      </w:pPr>
      <w:r>
        <w:rPr>
          <w:rFonts w:hint="eastAsia" w:eastAsia="仿宋_GB2312"/>
          <w:szCs w:val="32"/>
        </w:rPr>
        <w:t>15．中国国际贸易促进委员会天津市分会商事法律服务中心</w:t>
      </w:r>
    </w:p>
    <w:p w14:paraId="245394CC">
      <w:pPr>
        <w:pStyle w:val="2"/>
        <w:ind w:firstLine="624" w:firstLineChars="200"/>
        <w:rPr>
          <w:rFonts w:eastAsia="仿宋_GB2312"/>
          <w:szCs w:val="32"/>
        </w:rPr>
      </w:pPr>
      <w:r>
        <w:rPr>
          <w:rFonts w:hint="eastAsia" w:eastAsia="仿宋_GB2312"/>
          <w:szCs w:val="32"/>
        </w:rPr>
        <w:t>16．天津大学法学院</w:t>
      </w:r>
    </w:p>
    <w:p w14:paraId="0F2E3971">
      <w:pPr>
        <w:pStyle w:val="2"/>
        <w:ind w:firstLine="624" w:firstLineChars="200"/>
        <w:rPr>
          <w:rFonts w:eastAsia="仿宋_GB2312"/>
          <w:szCs w:val="32"/>
        </w:rPr>
      </w:pPr>
      <w:r>
        <w:rPr>
          <w:rFonts w:hint="eastAsia" w:eastAsia="仿宋_GB2312"/>
          <w:szCs w:val="32"/>
        </w:rPr>
        <w:t>17．天津工业大学法学院</w:t>
      </w:r>
      <w:r>
        <w:rPr>
          <w:rFonts w:hint="eastAsia" w:ascii="仿宋_GB2312" w:hAnsi="仿宋_GB2312" w:eastAsia="仿宋_GB2312" w:cs="仿宋_GB2312"/>
          <w:szCs w:val="32"/>
        </w:rPr>
        <w:t>/知</w:t>
      </w:r>
      <w:r>
        <w:rPr>
          <w:rFonts w:hint="eastAsia" w:eastAsia="仿宋_GB2312"/>
          <w:szCs w:val="32"/>
        </w:rPr>
        <w:t>识产权学院</w:t>
      </w:r>
    </w:p>
    <w:p w14:paraId="5D779686">
      <w:pPr>
        <w:pStyle w:val="2"/>
        <w:ind w:firstLine="624" w:firstLineChars="200"/>
        <w:rPr>
          <w:rFonts w:eastAsia="仿宋_GB2312"/>
          <w:szCs w:val="32"/>
        </w:rPr>
      </w:pPr>
      <w:r>
        <w:rPr>
          <w:rFonts w:hint="eastAsia" w:eastAsia="仿宋_GB2312"/>
          <w:szCs w:val="32"/>
        </w:rPr>
        <w:t>18．天津市律师协会行政法专业委员会</w:t>
      </w:r>
    </w:p>
    <w:p w14:paraId="3B11E8E2">
      <w:pPr>
        <w:pStyle w:val="2"/>
        <w:rPr>
          <w:rFonts w:eastAsia="仿宋_GB2312"/>
          <w:szCs w:val="32"/>
        </w:rPr>
      </w:pPr>
    </w:p>
    <w:p w14:paraId="56CE8379">
      <w:pPr>
        <w:pStyle w:val="2"/>
        <w:rPr>
          <w:rFonts w:eastAsia="仿宋_GB2312"/>
          <w:szCs w:val="32"/>
        </w:rPr>
      </w:pPr>
    </w:p>
    <w:p w14:paraId="0BC52C48">
      <w:pPr>
        <w:pStyle w:val="2"/>
        <w:rPr>
          <w:rFonts w:eastAsia="仿宋_GB2312"/>
          <w:szCs w:val="32"/>
        </w:rPr>
      </w:pPr>
    </w:p>
    <w:p w14:paraId="19DB655F">
      <w:pPr>
        <w:pStyle w:val="2"/>
        <w:ind w:left="914" w:hanging="917" w:hangingChars="294"/>
        <w:rPr>
          <w:rFonts w:eastAsia="仿宋_GB2312"/>
          <w:szCs w:val="32"/>
        </w:rPr>
      </w:pPr>
    </w:p>
    <w:p w14:paraId="6A012A7E">
      <w:pPr>
        <w:pStyle w:val="2"/>
        <w:ind w:left="914" w:hanging="917" w:hangingChars="294"/>
        <w:rPr>
          <w:rFonts w:eastAsia="仿宋_GB2312"/>
          <w:szCs w:val="32"/>
        </w:rPr>
      </w:pPr>
    </w:p>
    <w:p w14:paraId="4016F0EA">
      <w:pPr>
        <w:pStyle w:val="2"/>
        <w:ind w:left="914" w:hanging="917" w:hangingChars="294"/>
        <w:rPr>
          <w:rFonts w:eastAsia="仿宋_GB2312"/>
          <w:szCs w:val="32"/>
        </w:rPr>
      </w:pPr>
    </w:p>
    <w:p w14:paraId="2CA1CF1F">
      <w:pPr>
        <w:pStyle w:val="2"/>
        <w:ind w:left="914" w:hanging="917" w:hangingChars="294"/>
        <w:rPr>
          <w:rFonts w:eastAsia="仿宋_GB2312"/>
          <w:szCs w:val="32"/>
        </w:rPr>
      </w:pPr>
    </w:p>
    <w:p w14:paraId="1BE8B181">
      <w:pPr>
        <w:pStyle w:val="2"/>
        <w:ind w:left="914" w:hanging="917" w:hangingChars="294"/>
        <w:rPr>
          <w:rFonts w:eastAsia="仿宋_GB2312"/>
          <w:szCs w:val="32"/>
        </w:rPr>
      </w:pPr>
    </w:p>
    <w:p w14:paraId="56B4CC1B">
      <w:pPr>
        <w:pStyle w:val="2"/>
        <w:ind w:left="914" w:hanging="917" w:hangingChars="294"/>
        <w:rPr>
          <w:rFonts w:eastAsia="仿宋_GB2312"/>
          <w:szCs w:val="32"/>
        </w:rPr>
      </w:pPr>
    </w:p>
    <w:p w14:paraId="0E514C07">
      <w:pPr>
        <w:pStyle w:val="2"/>
        <w:ind w:left="914" w:hanging="917" w:hangingChars="294"/>
        <w:rPr>
          <w:rFonts w:eastAsia="仿宋_GB2312"/>
          <w:szCs w:val="32"/>
        </w:rPr>
      </w:pPr>
    </w:p>
    <w:p w14:paraId="48031083">
      <w:pPr>
        <w:pStyle w:val="2"/>
        <w:ind w:left="914" w:hanging="917" w:hangingChars="294"/>
        <w:rPr>
          <w:rFonts w:eastAsia="仿宋_GB2312"/>
          <w:szCs w:val="32"/>
        </w:rPr>
      </w:pPr>
    </w:p>
    <w:p w14:paraId="27516CF0">
      <w:pPr>
        <w:pStyle w:val="2"/>
        <w:ind w:left="914" w:hanging="917" w:hangingChars="294"/>
        <w:rPr>
          <w:rFonts w:eastAsia="仿宋_GB2312"/>
          <w:szCs w:val="32"/>
        </w:rPr>
      </w:pPr>
    </w:p>
    <w:p w14:paraId="720C2FFC">
      <w:pPr>
        <w:pStyle w:val="2"/>
        <w:ind w:left="914" w:hanging="917" w:hangingChars="294"/>
        <w:rPr>
          <w:rFonts w:eastAsia="仿宋_GB2312"/>
          <w:szCs w:val="32"/>
        </w:rPr>
      </w:pPr>
    </w:p>
    <w:p w14:paraId="586E59ED">
      <w:pPr>
        <w:pStyle w:val="2"/>
        <w:ind w:left="914" w:hanging="917" w:hangingChars="294"/>
        <w:rPr>
          <w:rFonts w:eastAsia="仿宋_GB2312"/>
          <w:szCs w:val="32"/>
        </w:rPr>
      </w:pPr>
    </w:p>
    <w:p w14:paraId="763F5B57">
      <w:pPr>
        <w:pStyle w:val="2"/>
        <w:ind w:left="914" w:hanging="917" w:hangingChars="294"/>
        <w:rPr>
          <w:rFonts w:eastAsia="仿宋_GB2312"/>
          <w:szCs w:val="32"/>
        </w:rPr>
      </w:pPr>
    </w:p>
    <w:p w14:paraId="20F40961">
      <w:pPr>
        <w:pStyle w:val="2"/>
        <w:ind w:left="914" w:hanging="917" w:hangingChars="294"/>
        <w:rPr>
          <w:rFonts w:eastAsia="仿宋_GB2312"/>
          <w:szCs w:val="32"/>
        </w:rPr>
      </w:pPr>
    </w:p>
    <w:p w14:paraId="0D7D8205">
      <w:pPr>
        <w:pStyle w:val="2"/>
        <w:ind w:left="914" w:hanging="917" w:hangingChars="294"/>
        <w:rPr>
          <w:rFonts w:eastAsia="仿宋_GB2312"/>
          <w:szCs w:val="32"/>
        </w:rPr>
      </w:pPr>
    </w:p>
    <w:p w14:paraId="0FBE1D7B">
      <w:pPr>
        <w:pStyle w:val="2"/>
        <w:ind w:left="914" w:hanging="917" w:hangingChars="294"/>
        <w:rPr>
          <w:rFonts w:eastAsia="仿宋_GB2312"/>
          <w:szCs w:val="32"/>
        </w:rPr>
      </w:pPr>
    </w:p>
    <w:p w14:paraId="01CA94CA">
      <w:pPr>
        <w:pStyle w:val="2"/>
        <w:ind w:left="914" w:hanging="917" w:hangingChars="294"/>
        <w:rPr>
          <w:rFonts w:eastAsia="仿宋_GB2312"/>
          <w:szCs w:val="32"/>
        </w:rPr>
      </w:pPr>
    </w:p>
    <w:p w14:paraId="1847A50F">
      <w:pPr>
        <w:pStyle w:val="2"/>
        <w:ind w:left="914" w:hanging="917" w:hangingChars="294"/>
        <w:rPr>
          <w:rFonts w:eastAsia="仿宋_GB2312"/>
          <w:szCs w:val="32"/>
        </w:rPr>
      </w:pPr>
    </w:p>
    <w:p w14:paraId="7A5E6A2F">
      <w:pPr>
        <w:pStyle w:val="2"/>
        <w:ind w:left="914" w:hanging="917" w:hangingChars="294"/>
        <w:rPr>
          <w:rFonts w:eastAsia="仿宋_GB2312"/>
          <w:szCs w:val="32"/>
        </w:rPr>
      </w:pPr>
    </w:p>
    <w:p w14:paraId="22FCC949">
      <w:pPr>
        <w:pStyle w:val="2"/>
        <w:rPr>
          <w:rFonts w:eastAsia="仿宋_GB2312"/>
          <w:szCs w:val="32"/>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EF99">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8</w:t>
    </w:r>
    <w:r>
      <w:rPr>
        <w:sz w:val="28"/>
      </w:rPr>
      <w:fldChar w:fldCharType="end"/>
    </w:r>
    <w:r>
      <w:rPr>
        <w:rStyle w:val="9"/>
        <w:sz w:val="28"/>
      </w:rPr>
      <w:t xml:space="preserve"> </w:t>
    </w:r>
    <w:r>
      <w:rPr>
        <w:rStyle w:val="9"/>
        <w:rFonts w:hint="eastAsia"/>
        <w:sz w:val="28"/>
      </w:rPr>
      <w:t>—</w:t>
    </w:r>
  </w:p>
  <w:p w14:paraId="0AEEA438">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D00E">
    <w:pPr>
      <w:pStyle w:val="5"/>
      <w:framePr w:wrap="around" w:vAnchor="text" w:hAnchor="margin" w:xAlign="outside" w:y="1"/>
      <w:rPr>
        <w:rStyle w:val="9"/>
      </w:rPr>
    </w:pPr>
    <w:r>
      <w:fldChar w:fldCharType="begin"/>
    </w:r>
    <w:r>
      <w:rPr>
        <w:rStyle w:val="9"/>
      </w:rPr>
      <w:instrText xml:space="preserve">PAGE  </w:instrText>
    </w:r>
    <w:r>
      <w:fldChar w:fldCharType="end"/>
    </w:r>
  </w:p>
  <w:p w14:paraId="16BBB4D0">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9555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403F0"/>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513DB"/>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64D7B"/>
    <w:rsid w:val="00FB20E7"/>
    <w:rsid w:val="02DF736C"/>
    <w:rsid w:val="060A6B00"/>
    <w:rsid w:val="17B9F225"/>
    <w:rsid w:val="1BFDED4B"/>
    <w:rsid w:val="1EBD1CDF"/>
    <w:rsid w:val="23FBEEB4"/>
    <w:rsid w:val="23FF00CC"/>
    <w:rsid w:val="269DCCD9"/>
    <w:rsid w:val="29F79B4C"/>
    <w:rsid w:val="2B9F7657"/>
    <w:rsid w:val="2DB5A75C"/>
    <w:rsid w:val="3267E271"/>
    <w:rsid w:val="37FF3CDA"/>
    <w:rsid w:val="380A6843"/>
    <w:rsid w:val="38B92017"/>
    <w:rsid w:val="39F7CA5F"/>
    <w:rsid w:val="3AD95466"/>
    <w:rsid w:val="3BE5C19F"/>
    <w:rsid w:val="3F3F07D0"/>
    <w:rsid w:val="3FC4E0A7"/>
    <w:rsid w:val="3FDB3BBF"/>
    <w:rsid w:val="4169470B"/>
    <w:rsid w:val="420F1FD7"/>
    <w:rsid w:val="46CF5730"/>
    <w:rsid w:val="4BCEDF44"/>
    <w:rsid w:val="4F7F3532"/>
    <w:rsid w:val="4FFE619F"/>
    <w:rsid w:val="53FF13A3"/>
    <w:rsid w:val="55D5770A"/>
    <w:rsid w:val="57F797CC"/>
    <w:rsid w:val="57FD7039"/>
    <w:rsid w:val="5BDFD631"/>
    <w:rsid w:val="5DBE4E9D"/>
    <w:rsid w:val="5DFCE2F5"/>
    <w:rsid w:val="5ED55117"/>
    <w:rsid w:val="5EFEFD23"/>
    <w:rsid w:val="5FAB4ED7"/>
    <w:rsid w:val="5FBFDAB3"/>
    <w:rsid w:val="5FE71F31"/>
    <w:rsid w:val="5FF74DA4"/>
    <w:rsid w:val="5FFD0B7C"/>
    <w:rsid w:val="67EF89D4"/>
    <w:rsid w:val="6A33F2FD"/>
    <w:rsid w:val="6F2F678B"/>
    <w:rsid w:val="6FBFDB06"/>
    <w:rsid w:val="716BDCA5"/>
    <w:rsid w:val="737F93A2"/>
    <w:rsid w:val="739E5AB6"/>
    <w:rsid w:val="73FEACA6"/>
    <w:rsid w:val="753FAFBE"/>
    <w:rsid w:val="75EF2FFC"/>
    <w:rsid w:val="75FFD392"/>
    <w:rsid w:val="76FB0002"/>
    <w:rsid w:val="77162667"/>
    <w:rsid w:val="77185B7F"/>
    <w:rsid w:val="77C33397"/>
    <w:rsid w:val="77FF5B59"/>
    <w:rsid w:val="79976224"/>
    <w:rsid w:val="79B1EED3"/>
    <w:rsid w:val="7A9BF25F"/>
    <w:rsid w:val="7AFEF08A"/>
    <w:rsid w:val="7B5DF3E1"/>
    <w:rsid w:val="7BEE785B"/>
    <w:rsid w:val="7C553D3C"/>
    <w:rsid w:val="7CBE85E6"/>
    <w:rsid w:val="7CBFA396"/>
    <w:rsid w:val="7D5F10BA"/>
    <w:rsid w:val="7DBC1F29"/>
    <w:rsid w:val="7DFEA819"/>
    <w:rsid w:val="7DFFAB17"/>
    <w:rsid w:val="7E5BC4DA"/>
    <w:rsid w:val="7EF5D581"/>
    <w:rsid w:val="7F5DC108"/>
    <w:rsid w:val="7F67B5F9"/>
    <w:rsid w:val="7F7ABC74"/>
    <w:rsid w:val="7FBBA492"/>
    <w:rsid w:val="7FDFA84C"/>
    <w:rsid w:val="7FEA1B77"/>
    <w:rsid w:val="7FF73562"/>
    <w:rsid w:val="7FF7571F"/>
    <w:rsid w:val="7FFBBE1B"/>
    <w:rsid w:val="7FFD9499"/>
    <w:rsid w:val="7FFFFF15"/>
    <w:rsid w:val="8FEE1083"/>
    <w:rsid w:val="92E7D14C"/>
    <w:rsid w:val="9D8E3CB4"/>
    <w:rsid w:val="A5EE5478"/>
    <w:rsid w:val="A6760397"/>
    <w:rsid w:val="A6FDAD1B"/>
    <w:rsid w:val="AB27D0D3"/>
    <w:rsid w:val="ABDF3923"/>
    <w:rsid w:val="AD44875F"/>
    <w:rsid w:val="AFAD3D99"/>
    <w:rsid w:val="AFFF5A35"/>
    <w:rsid w:val="B3FC803C"/>
    <w:rsid w:val="B6FB88C6"/>
    <w:rsid w:val="B7959DD5"/>
    <w:rsid w:val="B9FF517E"/>
    <w:rsid w:val="BBD70A27"/>
    <w:rsid w:val="BCFDF092"/>
    <w:rsid w:val="BE3F66A1"/>
    <w:rsid w:val="BF0B4441"/>
    <w:rsid w:val="BF7F705B"/>
    <w:rsid w:val="BFD52601"/>
    <w:rsid w:val="BFFA52C8"/>
    <w:rsid w:val="CEDB89E3"/>
    <w:rsid w:val="CF35D660"/>
    <w:rsid w:val="D4EE8DBC"/>
    <w:rsid w:val="D67C42A4"/>
    <w:rsid w:val="DD566E74"/>
    <w:rsid w:val="DDF4C1AC"/>
    <w:rsid w:val="DDFACFC0"/>
    <w:rsid w:val="DDFF1A22"/>
    <w:rsid w:val="DEFD823C"/>
    <w:rsid w:val="DF5DAF74"/>
    <w:rsid w:val="DFBABC84"/>
    <w:rsid w:val="DFBDC14C"/>
    <w:rsid w:val="E7AFF9EC"/>
    <w:rsid w:val="E8CB0E0A"/>
    <w:rsid w:val="E9BD9F45"/>
    <w:rsid w:val="EBFDE66E"/>
    <w:rsid w:val="EE1518A5"/>
    <w:rsid w:val="EE2ED561"/>
    <w:rsid w:val="EEE53F4B"/>
    <w:rsid w:val="EF3F9822"/>
    <w:rsid w:val="EF6F448B"/>
    <w:rsid w:val="EFBD3306"/>
    <w:rsid w:val="EFEF88C5"/>
    <w:rsid w:val="EFFFC725"/>
    <w:rsid w:val="F599A01B"/>
    <w:rsid w:val="F5EFCAAF"/>
    <w:rsid w:val="F5F71723"/>
    <w:rsid w:val="F5FF59BB"/>
    <w:rsid w:val="F7461F3D"/>
    <w:rsid w:val="F77FBDF2"/>
    <w:rsid w:val="F7F57566"/>
    <w:rsid w:val="FADE9990"/>
    <w:rsid w:val="FBFFB62F"/>
    <w:rsid w:val="FCBDBA2A"/>
    <w:rsid w:val="FD3BA716"/>
    <w:rsid w:val="FDE7CD30"/>
    <w:rsid w:val="FE777EA6"/>
    <w:rsid w:val="FEED62B3"/>
    <w:rsid w:val="FEEFCF54"/>
    <w:rsid w:val="FEFF2DCA"/>
    <w:rsid w:val="FEFFA073"/>
    <w:rsid w:val="FF9BA0A9"/>
    <w:rsid w:val="FFBE4A44"/>
    <w:rsid w:val="FFD7CE43"/>
    <w:rsid w:val="FFEF894B"/>
    <w:rsid w:val="FFFF524E"/>
    <w:rsid w:val="FFFFC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qFormat/>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8</Pages>
  <Words>2170</Words>
  <Characters>2183</Characters>
  <Lines>16</Lines>
  <Paragraphs>4</Paragraphs>
  <TotalTime>0</TotalTime>
  <ScaleCrop>false</ScaleCrop>
  <LinksUpToDate>false</LinksUpToDate>
  <CharactersWithSpaces>2236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2014-06-14T08:51:00Z</dcterms:created>
  <dc:creator>jsj</dc:creator>
  <cp:lastModifiedBy>英雄的黎明</cp:lastModifiedBy>
  <cp:lastPrinted>2025-10-22T07:48:00Z</cp:lastPrinted>
  <dcterms:modified xsi:type="dcterms:W3CDTF">2025-11-18T04:36:23Z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885E3B12D191467BA9C062E0DA97EC07_13</vt:lpwstr>
  </property>
  <property fmtid="{D5CDD505-2E9C-101B-9397-08002B2CF9AE}" pid="4" name="KSOTemplateDocerSaveRecord">
    <vt:lpwstr>eyJoZGlkIjoiNjUwMjRhZTU5OGRkNzhkMDM1ZjFhMzU1OGYzNDA5NTIiLCJ1c2VySWQiOiIzODc1NzcxNzEifQ==</vt:lpwstr>
  </property>
</Properties>
</file>