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eastAsia="方正小标宋简体" w:cs="方正小标宋简体"/>
          <w:sz w:val="44"/>
          <w:szCs w:val="44"/>
        </w:rPr>
      </w:pPr>
      <w:r>
        <w:rPr>
          <w:rFonts w:hint="eastAsia" w:eastAsia="方正小标宋简体" w:cs="方正小标宋简体"/>
          <w:sz w:val="44"/>
          <w:szCs w:val="44"/>
        </w:rPr>
        <w:t>重点工作任务分解表</w:t>
      </w:r>
    </w:p>
    <w:tbl>
      <w:tblPr>
        <w:tblStyle w:val="5"/>
        <w:tblW w:w="0" w:type="auto"/>
        <w:tblInd w:w="0" w:type="dxa"/>
        <w:tblLayout w:type="fixed"/>
        <w:tblCellMar>
          <w:top w:w="0" w:type="dxa"/>
          <w:left w:w="0" w:type="dxa"/>
          <w:bottom w:w="0" w:type="dxa"/>
          <w:right w:w="0" w:type="dxa"/>
        </w:tblCellMar>
      </w:tblPr>
      <w:tblGrid>
        <w:gridCol w:w="1971"/>
        <w:gridCol w:w="585"/>
        <w:gridCol w:w="2865"/>
        <w:gridCol w:w="8325"/>
      </w:tblGrid>
      <w:tr>
        <w:tblPrEx>
          <w:tblCellMar>
            <w:top w:w="0" w:type="dxa"/>
            <w:left w:w="0" w:type="dxa"/>
            <w:bottom w:w="0" w:type="dxa"/>
            <w:right w:w="0" w:type="dxa"/>
          </w:tblCellMar>
        </w:tblPrEx>
        <w:trPr>
          <w:trHeight w:val="680" w:hRule="atLeast"/>
          <w:tblHeader/>
        </w:trPr>
        <w:tc>
          <w:tcPr>
            <w:tcW w:w="1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center"/>
              <w:outlineLvl w:val="9"/>
              <w:rPr>
                <w:rFonts w:hint="eastAsia" w:eastAsia="黑体" w:cs="黑体"/>
                <w:sz w:val="28"/>
                <w:szCs w:val="28"/>
              </w:rPr>
            </w:pPr>
            <w:r>
              <w:rPr>
                <w:rFonts w:hint="eastAsia" w:eastAsia="黑体" w:cs="黑体"/>
                <w:kern w:val="0"/>
                <w:sz w:val="28"/>
                <w:szCs w:val="28"/>
                <w:lang w:bidi="ar"/>
              </w:rPr>
              <w:t>任务分类</w:t>
            </w:r>
          </w:p>
        </w:tc>
        <w:tc>
          <w:tcPr>
            <w:tcW w:w="34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center"/>
              <w:outlineLvl w:val="9"/>
              <w:rPr>
                <w:rFonts w:hint="eastAsia" w:eastAsia="黑体" w:cs="黑体"/>
                <w:sz w:val="28"/>
                <w:szCs w:val="28"/>
              </w:rPr>
            </w:pPr>
            <w:r>
              <w:rPr>
                <w:rFonts w:hint="eastAsia" w:eastAsia="黑体" w:cs="黑体"/>
                <w:kern w:val="0"/>
                <w:sz w:val="28"/>
                <w:szCs w:val="28"/>
                <w:lang w:bidi="ar"/>
              </w:rPr>
              <w:t>重点任务</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center"/>
              <w:outlineLvl w:val="9"/>
              <w:rPr>
                <w:rFonts w:hint="eastAsia" w:eastAsia="黑体" w:cs="黑体"/>
                <w:sz w:val="28"/>
                <w:szCs w:val="28"/>
              </w:rPr>
            </w:pPr>
            <w:r>
              <w:rPr>
                <w:rFonts w:hint="eastAsia" w:eastAsia="黑体" w:cs="黑体"/>
                <w:kern w:val="0"/>
                <w:sz w:val="28"/>
                <w:szCs w:val="28"/>
                <w:lang w:bidi="ar"/>
              </w:rPr>
              <w:t>责任单位</w:t>
            </w:r>
          </w:p>
        </w:tc>
      </w:tr>
      <w:tr>
        <w:tblPrEx>
          <w:tblCellMar>
            <w:top w:w="0" w:type="dxa"/>
            <w:left w:w="0" w:type="dxa"/>
            <w:bottom w:w="0" w:type="dxa"/>
            <w:right w:w="0" w:type="dxa"/>
          </w:tblCellMar>
        </w:tblPrEx>
        <w:trPr>
          <w:trHeight w:val="680" w:hRule="atLeast"/>
        </w:trPr>
        <w:tc>
          <w:tcPr>
            <w:tcW w:w="1374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center"/>
              <w:outlineLvl w:val="9"/>
              <w:rPr>
                <w:rFonts w:hint="eastAsia" w:eastAsia="黑体" w:cs="黑体"/>
                <w:sz w:val="28"/>
                <w:szCs w:val="28"/>
              </w:rPr>
            </w:pPr>
            <w:r>
              <w:rPr>
                <w:rFonts w:hint="eastAsia" w:eastAsia="黑体" w:cs="黑体"/>
                <w:kern w:val="0"/>
                <w:sz w:val="28"/>
                <w:szCs w:val="28"/>
                <w:lang w:bidi="ar"/>
              </w:rPr>
              <w:t>一、重点任务责任分工</w:t>
            </w:r>
          </w:p>
        </w:tc>
      </w:tr>
      <w:tr>
        <w:tblPrEx>
          <w:tblCellMar>
            <w:top w:w="0" w:type="dxa"/>
            <w:left w:w="0" w:type="dxa"/>
            <w:bottom w:w="0" w:type="dxa"/>
            <w:right w:w="0" w:type="dxa"/>
          </w:tblCellMar>
        </w:tblPrEx>
        <w:trPr>
          <w:trHeight w:val="850" w:hRule="atLeast"/>
        </w:trPr>
        <w:tc>
          <w:tcPr>
            <w:tcW w:w="197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napToGrid w:val="0"/>
              <w:spacing w:line="0" w:lineRule="atLeast"/>
              <w:jc w:val="left"/>
              <w:textAlignment w:val="center"/>
              <w:rPr>
                <w:rFonts w:eastAsia="仿宋_GB2312"/>
                <w:sz w:val="28"/>
                <w:szCs w:val="28"/>
              </w:rPr>
            </w:pPr>
            <w:r>
              <w:rPr>
                <w:rFonts w:hint="eastAsia" w:eastAsia="仿宋_GB2312" w:cs="仿宋_GB2312"/>
                <w:kern w:val="0"/>
                <w:sz w:val="28"/>
                <w:szCs w:val="28"/>
                <w:lang w:bidi="ar"/>
              </w:rPr>
              <w:t>（一）构建融合创新体系，推动产业集聚发展</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1</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增强产业自主创新能力</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市工业和信息化局、市科技局、市发展改革委、市教委、市知识产权局等部门按职责分工负责</w:t>
            </w:r>
          </w:p>
        </w:tc>
      </w:tr>
      <w:tr>
        <w:tblPrEx>
          <w:tblCellMar>
            <w:top w:w="0" w:type="dxa"/>
            <w:left w:w="0" w:type="dxa"/>
            <w:bottom w:w="0" w:type="dxa"/>
            <w:right w:w="0" w:type="dxa"/>
          </w:tblCellMar>
        </w:tblPrEx>
        <w:trPr>
          <w:trHeight w:val="850" w:hRule="atLeast"/>
        </w:trPr>
        <w:tc>
          <w:tcPr>
            <w:tcW w:w="1971" w:type="dxa"/>
            <w:vMerge w:val="continue"/>
            <w:tcBorders>
              <w:left w:val="single" w:color="000000" w:sz="4" w:space="0"/>
              <w:right w:val="single" w:color="000000" w:sz="4" w:space="0"/>
            </w:tcBorders>
            <w:noWrap w:val="0"/>
            <w:tcMar>
              <w:top w:w="15" w:type="dxa"/>
              <w:left w:w="15" w:type="dxa"/>
              <w:right w:w="15" w:type="dxa"/>
            </w:tcMar>
            <w:vAlign w:val="center"/>
          </w:tcPr>
          <w:p>
            <w:pPr>
              <w:snapToGrid w:val="0"/>
              <w:spacing w:line="0" w:lineRule="atLeast"/>
              <w:jc w:val="left"/>
              <w:textAlignment w:val="center"/>
              <w:rPr>
                <w:rFonts w:eastAsia="仿宋_GB2312"/>
                <w:sz w:val="28"/>
                <w:szCs w:val="28"/>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0" w:lineRule="atLeast"/>
              <w:jc w:val="center"/>
              <w:rPr>
                <w:rFonts w:hint="eastAsia" w:ascii="Times New Roman" w:hAnsi="Times New Roman" w:eastAsia="仿宋_GB2312"/>
                <w:sz w:val="32"/>
                <w:szCs w:val="32"/>
              </w:rPr>
            </w:pPr>
            <w:r>
              <w:rPr>
                <w:rFonts w:hint="eastAsia" w:ascii="Times New Roman" w:hAnsi="Times New Roman" w:eastAsia="仿宋_GB2312"/>
                <w:sz w:val="32"/>
                <w:szCs w:val="32"/>
              </w:rPr>
              <w:t>2</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加快关键核心技术攻关</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市科技局、市工业和信息化局、市委网信办、市通信管理局等部门按职责分工负责</w:t>
            </w:r>
          </w:p>
        </w:tc>
      </w:tr>
      <w:tr>
        <w:tblPrEx>
          <w:tblCellMar>
            <w:top w:w="0" w:type="dxa"/>
            <w:left w:w="0" w:type="dxa"/>
            <w:bottom w:w="0" w:type="dxa"/>
            <w:right w:w="0" w:type="dxa"/>
          </w:tblCellMar>
        </w:tblPrEx>
        <w:trPr>
          <w:trHeight w:val="850" w:hRule="atLeast"/>
        </w:trPr>
        <w:tc>
          <w:tcPr>
            <w:tcW w:w="1971" w:type="dxa"/>
            <w:vMerge w:val="continue"/>
            <w:tcBorders>
              <w:left w:val="single" w:color="000000" w:sz="4" w:space="0"/>
              <w:right w:val="single" w:color="000000" w:sz="4" w:space="0"/>
            </w:tcBorders>
            <w:noWrap w:val="0"/>
            <w:tcMar>
              <w:top w:w="15" w:type="dxa"/>
              <w:left w:w="15" w:type="dxa"/>
              <w:right w:w="15" w:type="dxa"/>
            </w:tcMar>
            <w:vAlign w:val="center"/>
          </w:tcPr>
          <w:p>
            <w:pPr>
              <w:snapToGrid w:val="0"/>
              <w:spacing w:line="0" w:lineRule="atLeast"/>
              <w:jc w:val="left"/>
              <w:textAlignment w:val="center"/>
              <w:rPr>
                <w:rFonts w:eastAsia="仿宋_GB2312"/>
                <w:sz w:val="28"/>
                <w:szCs w:val="28"/>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0" w:lineRule="atLeast"/>
              <w:jc w:val="center"/>
              <w:rPr>
                <w:rFonts w:hint="eastAsia" w:ascii="Times New Roman" w:hAnsi="Times New Roman" w:eastAsia="仿宋_GB2312"/>
                <w:sz w:val="32"/>
                <w:szCs w:val="32"/>
              </w:rPr>
            </w:pPr>
            <w:r>
              <w:rPr>
                <w:rFonts w:hint="eastAsia" w:ascii="Times New Roman" w:hAnsi="Times New Roman" w:eastAsia="仿宋_GB2312"/>
                <w:sz w:val="32"/>
                <w:szCs w:val="32"/>
              </w:rPr>
              <w:t>3</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打造新型零部件产业集群</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市工业和信息化局、市发展改革委、市科技局等部门和西青区、东丽区、武清区、滨海新区等有关区人民政府按职责分工负责</w:t>
            </w:r>
          </w:p>
        </w:tc>
      </w:tr>
      <w:tr>
        <w:tblPrEx>
          <w:tblCellMar>
            <w:top w:w="0" w:type="dxa"/>
            <w:left w:w="0" w:type="dxa"/>
            <w:bottom w:w="0" w:type="dxa"/>
            <w:right w:w="0" w:type="dxa"/>
          </w:tblCellMar>
        </w:tblPrEx>
        <w:trPr>
          <w:trHeight w:val="850" w:hRule="atLeast"/>
        </w:trPr>
        <w:tc>
          <w:tcPr>
            <w:tcW w:w="197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sz w:val="28"/>
                <w:szCs w:val="28"/>
              </w:rPr>
            </w:pPr>
          </w:p>
        </w:tc>
        <w:tc>
          <w:tcPr>
            <w:tcW w:w="58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napToGrid w:val="0"/>
              <w:spacing w:line="0" w:lineRule="atLeast"/>
              <w:jc w:val="center"/>
              <w:rPr>
                <w:rFonts w:hint="eastAsia" w:ascii="Times New Roman" w:hAnsi="Times New Roman" w:eastAsia="仿宋_GB2312"/>
                <w:sz w:val="32"/>
                <w:szCs w:val="32"/>
              </w:rPr>
            </w:pPr>
            <w:r>
              <w:rPr>
                <w:rFonts w:hint="eastAsia" w:ascii="Times New Roman" w:hAnsi="Times New Roman" w:eastAsia="仿宋_GB2312"/>
                <w:sz w:val="32"/>
                <w:szCs w:val="32"/>
              </w:rPr>
              <w:t>4</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塑造特色产业集聚区</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市工业和信息化局、市科技局、市教委、市人社局等部门和西青区、东丽区、武清区、滨海新区等有关区人民政府按职责分工负责</w:t>
            </w:r>
          </w:p>
        </w:tc>
      </w:tr>
      <w:tr>
        <w:tblPrEx>
          <w:tblCellMar>
            <w:top w:w="0" w:type="dxa"/>
            <w:left w:w="0" w:type="dxa"/>
            <w:bottom w:w="0" w:type="dxa"/>
            <w:right w:w="0" w:type="dxa"/>
          </w:tblCellMar>
        </w:tblPrEx>
        <w:trPr>
          <w:trHeight w:val="850" w:hRule="atLeast"/>
        </w:trPr>
        <w:tc>
          <w:tcPr>
            <w:tcW w:w="1971"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snapToGrid w:val="0"/>
              <w:spacing w:line="0" w:lineRule="atLeast"/>
              <w:jc w:val="left"/>
              <w:textAlignment w:val="center"/>
              <w:rPr>
                <w:rFonts w:hint="eastAsia" w:eastAsia="仿宋_GB2312"/>
                <w:sz w:val="28"/>
                <w:szCs w:val="28"/>
              </w:rPr>
            </w:pPr>
            <w:r>
              <w:rPr>
                <w:rFonts w:hint="eastAsia" w:eastAsia="仿宋_GB2312" w:cs="仿宋_GB2312"/>
                <w:kern w:val="0"/>
                <w:sz w:val="28"/>
                <w:szCs w:val="28"/>
                <w:lang w:bidi="ar"/>
              </w:rPr>
              <w:t>（二）加强基础设施建设，夯实产业发展基础</w:t>
            </w:r>
          </w:p>
        </w:tc>
        <w:tc>
          <w:tcPr>
            <w:tcW w:w="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5</w:t>
            </w:r>
          </w:p>
        </w:tc>
        <w:tc>
          <w:tcPr>
            <w:tcW w:w="28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加快推进道路数字化升级改造</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市公安局、市交通运输委等部门和西青区、东丽区、滨海新区等有关区人民政府按职责分工负责</w:t>
            </w:r>
          </w:p>
        </w:tc>
      </w:tr>
      <w:tr>
        <w:tblPrEx>
          <w:tblCellMar>
            <w:top w:w="0" w:type="dxa"/>
            <w:left w:w="0" w:type="dxa"/>
            <w:bottom w:w="0" w:type="dxa"/>
            <w:right w:w="0" w:type="dxa"/>
          </w:tblCellMar>
        </w:tblPrEx>
        <w:trPr>
          <w:trHeight w:val="850" w:hRule="atLeast"/>
        </w:trPr>
        <w:tc>
          <w:tcPr>
            <w:tcW w:w="1971"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sz w:val="28"/>
                <w:szCs w:val="28"/>
              </w:rPr>
            </w:pPr>
          </w:p>
        </w:tc>
        <w:tc>
          <w:tcPr>
            <w:tcW w:w="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napToGrid w:val="0"/>
              <w:spacing w:line="0" w:lineRule="atLeast"/>
              <w:jc w:val="center"/>
              <w:rPr>
                <w:rFonts w:hint="eastAsia" w:ascii="Times New Roman" w:hAnsi="Times New Roman" w:eastAsia="仿宋_GB2312"/>
                <w:sz w:val="32"/>
                <w:szCs w:val="32"/>
              </w:rPr>
            </w:pPr>
            <w:r>
              <w:rPr>
                <w:rFonts w:hint="eastAsia" w:ascii="Times New Roman" w:hAnsi="Times New Roman" w:eastAsia="仿宋_GB2312"/>
                <w:sz w:val="32"/>
                <w:szCs w:val="32"/>
              </w:rPr>
              <w:t>6</w:t>
            </w:r>
          </w:p>
        </w:tc>
        <w:tc>
          <w:tcPr>
            <w:tcW w:w="28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提升新一代通信网络覆盖水平</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市工业和信息化局、市通信管理局、市委网信办、市交通运输委、市公安局等部门和西青区、东丽区、滨海新区等有关区人民政府按职责分工负责</w:t>
            </w:r>
          </w:p>
        </w:tc>
      </w:tr>
      <w:tr>
        <w:tblPrEx>
          <w:tblCellMar>
            <w:top w:w="0" w:type="dxa"/>
            <w:left w:w="0" w:type="dxa"/>
            <w:bottom w:w="0" w:type="dxa"/>
            <w:right w:w="0" w:type="dxa"/>
          </w:tblCellMar>
        </w:tblPrEx>
        <w:trPr>
          <w:trHeight w:val="964" w:hRule="exact"/>
        </w:trPr>
        <w:tc>
          <w:tcPr>
            <w:tcW w:w="1971"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snapToGrid w:val="0"/>
              <w:spacing w:line="0" w:lineRule="atLeast"/>
              <w:jc w:val="left"/>
              <w:textAlignment w:val="center"/>
              <w:rPr>
                <w:rFonts w:eastAsia="仿宋_GB2312"/>
                <w:sz w:val="28"/>
                <w:szCs w:val="28"/>
              </w:rPr>
            </w:pPr>
            <w:r>
              <w:rPr>
                <w:rFonts w:hint="eastAsia" w:eastAsia="仿宋_GB2312" w:cs="仿宋_GB2312"/>
                <w:kern w:val="0"/>
                <w:sz w:val="28"/>
                <w:szCs w:val="28"/>
                <w:lang w:bidi="ar"/>
              </w:rPr>
              <w:t>（二）加强基础设施建设，夯实产业发展基础</w:t>
            </w:r>
          </w:p>
        </w:tc>
        <w:tc>
          <w:tcPr>
            <w:tcW w:w="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7</w:t>
            </w:r>
          </w:p>
        </w:tc>
        <w:tc>
          <w:tcPr>
            <w:tcW w:w="28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推进车联网大数据中心及云平台建设</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市委网信办、市通信管理局、市工业和信息化局、市交通运输委、市公安局等部门和西青区、滨海新区等有关区人民政府按职责分工负责</w:t>
            </w:r>
          </w:p>
        </w:tc>
      </w:tr>
      <w:tr>
        <w:tblPrEx>
          <w:tblCellMar>
            <w:top w:w="0" w:type="dxa"/>
            <w:left w:w="0" w:type="dxa"/>
            <w:bottom w:w="0" w:type="dxa"/>
            <w:right w:w="0" w:type="dxa"/>
          </w:tblCellMar>
        </w:tblPrEx>
        <w:trPr>
          <w:trHeight w:val="964" w:hRule="exact"/>
        </w:trPr>
        <w:tc>
          <w:tcPr>
            <w:tcW w:w="1971"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sz w:val="28"/>
                <w:szCs w:val="28"/>
              </w:rPr>
            </w:pPr>
          </w:p>
        </w:tc>
        <w:tc>
          <w:tcPr>
            <w:tcW w:w="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8</w:t>
            </w:r>
          </w:p>
        </w:tc>
        <w:tc>
          <w:tcPr>
            <w:tcW w:w="28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加速高精度地图和定位技术应用</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市工业和信息化局、市科技局、市规划和自然资源局等部门和西青区、东丽区、滨海新区等有关区人民政府按职责分工负责</w:t>
            </w:r>
          </w:p>
        </w:tc>
      </w:tr>
      <w:tr>
        <w:tblPrEx>
          <w:tblCellMar>
            <w:top w:w="0" w:type="dxa"/>
            <w:left w:w="0" w:type="dxa"/>
            <w:bottom w:w="0" w:type="dxa"/>
            <w:right w:w="0" w:type="dxa"/>
          </w:tblCellMar>
        </w:tblPrEx>
        <w:trPr>
          <w:trHeight w:val="964" w:hRule="exact"/>
        </w:trPr>
        <w:tc>
          <w:tcPr>
            <w:tcW w:w="197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sz w:val="28"/>
                <w:szCs w:val="28"/>
              </w:rPr>
            </w:pPr>
            <w:r>
              <w:rPr>
                <w:rFonts w:hint="eastAsia" w:eastAsia="仿宋_GB2312" w:cs="仿宋_GB2312"/>
                <w:kern w:val="0"/>
                <w:sz w:val="28"/>
                <w:szCs w:val="28"/>
                <w:lang w:bidi="ar"/>
              </w:rPr>
              <w:t>（三）加强标准体系建设，抢抓产业发展先机</w:t>
            </w:r>
          </w:p>
        </w:tc>
        <w:tc>
          <w:tcPr>
            <w:tcW w:w="58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9</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建立跨行业标准协同机制</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市工业和信息化局、市市场监管委、市发展改革委、市交通运输委、市公安局、市委网信办、市通信管理局等部门按职责分工负责</w:t>
            </w:r>
          </w:p>
        </w:tc>
      </w:tr>
      <w:tr>
        <w:tblPrEx>
          <w:tblCellMar>
            <w:top w:w="0" w:type="dxa"/>
            <w:left w:w="0" w:type="dxa"/>
            <w:bottom w:w="0" w:type="dxa"/>
            <w:right w:w="0" w:type="dxa"/>
          </w:tblCellMar>
        </w:tblPrEx>
        <w:trPr>
          <w:trHeight w:val="964" w:hRule="exact"/>
        </w:trPr>
        <w:tc>
          <w:tcPr>
            <w:tcW w:w="1971" w:type="dxa"/>
            <w:vMerge w:val="continue"/>
            <w:tcBorders>
              <w:left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sz w:val="28"/>
                <w:szCs w:val="28"/>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10</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加快关键领域标准研究</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市工业和信息化局、市市场监管委、市发展改革委、市交通运输委、市公安局、市委网信办、市通信管理局等部门按职责分工负责</w:t>
            </w:r>
          </w:p>
        </w:tc>
      </w:tr>
      <w:tr>
        <w:tblPrEx>
          <w:tblCellMar>
            <w:top w:w="0" w:type="dxa"/>
            <w:left w:w="0" w:type="dxa"/>
            <w:bottom w:w="0" w:type="dxa"/>
            <w:right w:w="0" w:type="dxa"/>
          </w:tblCellMar>
        </w:tblPrEx>
        <w:trPr>
          <w:trHeight w:val="964" w:hRule="exact"/>
        </w:trPr>
        <w:tc>
          <w:tcPr>
            <w:tcW w:w="197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sz w:val="28"/>
                <w:szCs w:val="28"/>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11</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增强标准国际引领与交流合作</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市工业和信息化局、市市场监管委、市发展改革委、市交通运输委、市公安局、市委网信办、市通信管理局等部门按职责分工负责</w:t>
            </w:r>
          </w:p>
        </w:tc>
      </w:tr>
      <w:tr>
        <w:tblPrEx>
          <w:tblCellMar>
            <w:top w:w="0" w:type="dxa"/>
            <w:left w:w="0" w:type="dxa"/>
            <w:bottom w:w="0" w:type="dxa"/>
            <w:right w:w="0" w:type="dxa"/>
          </w:tblCellMar>
        </w:tblPrEx>
        <w:trPr>
          <w:trHeight w:val="964" w:hRule="exact"/>
        </w:trPr>
        <w:tc>
          <w:tcPr>
            <w:tcW w:w="197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napToGrid w:val="0"/>
              <w:spacing w:line="0" w:lineRule="atLeast"/>
              <w:jc w:val="left"/>
              <w:textAlignment w:val="center"/>
              <w:rPr>
                <w:rFonts w:eastAsia="仿宋_GB2312"/>
                <w:sz w:val="28"/>
                <w:szCs w:val="28"/>
              </w:rPr>
            </w:pPr>
            <w:r>
              <w:rPr>
                <w:rFonts w:hint="eastAsia" w:eastAsia="仿宋_GB2312" w:cs="仿宋_GB2312"/>
                <w:kern w:val="0"/>
                <w:sz w:val="28"/>
                <w:szCs w:val="28"/>
                <w:lang w:bidi="ar"/>
              </w:rPr>
              <w:t>（四）打造三级测试体系，增强测试验证能力</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12</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推进虚拟仿真测试环境建设</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市工业和信息化局、市科技局等部门和西青区、东丽区、滨海新区等有关区人民政府按职责分工负责</w:t>
            </w:r>
          </w:p>
        </w:tc>
      </w:tr>
      <w:tr>
        <w:tblPrEx>
          <w:tblCellMar>
            <w:top w:w="0" w:type="dxa"/>
            <w:left w:w="0" w:type="dxa"/>
            <w:bottom w:w="0" w:type="dxa"/>
            <w:right w:w="0" w:type="dxa"/>
          </w:tblCellMar>
        </w:tblPrEx>
        <w:trPr>
          <w:trHeight w:val="964" w:hRule="exact"/>
        </w:trPr>
        <w:tc>
          <w:tcPr>
            <w:tcW w:w="1971" w:type="dxa"/>
            <w:vMerge w:val="continue"/>
            <w:tcBorders>
              <w:left w:val="single" w:color="000000" w:sz="4" w:space="0"/>
              <w:right w:val="single" w:color="000000" w:sz="4" w:space="0"/>
            </w:tcBorders>
            <w:noWrap w:val="0"/>
            <w:tcMar>
              <w:top w:w="15" w:type="dxa"/>
              <w:left w:w="15" w:type="dxa"/>
              <w:right w:w="15" w:type="dxa"/>
            </w:tcMar>
            <w:vAlign w:val="center"/>
          </w:tcPr>
          <w:p>
            <w:pPr>
              <w:snapToGrid w:val="0"/>
              <w:spacing w:line="0" w:lineRule="atLeast"/>
              <w:jc w:val="left"/>
              <w:textAlignment w:val="center"/>
              <w:rPr>
                <w:rFonts w:eastAsia="仿宋_GB2312"/>
                <w:sz w:val="28"/>
                <w:szCs w:val="28"/>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13</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建设封闭研发测试基地</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市工业和信息化局、市交通运输委、市公安局等部门，西青区、东丽区、滨海新区等有关区人民政府以及海河教育园区管委会按职责分工负责</w:t>
            </w:r>
          </w:p>
        </w:tc>
      </w:tr>
      <w:tr>
        <w:tblPrEx>
          <w:tblCellMar>
            <w:top w:w="0" w:type="dxa"/>
            <w:left w:w="0" w:type="dxa"/>
            <w:bottom w:w="0" w:type="dxa"/>
            <w:right w:w="0" w:type="dxa"/>
          </w:tblCellMar>
        </w:tblPrEx>
        <w:trPr>
          <w:trHeight w:val="964" w:hRule="exact"/>
        </w:trPr>
        <w:tc>
          <w:tcPr>
            <w:tcW w:w="197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sz w:val="28"/>
                <w:szCs w:val="28"/>
              </w:rPr>
            </w:pPr>
          </w:p>
        </w:tc>
        <w:tc>
          <w:tcPr>
            <w:tcW w:w="58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14</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全面打造半开放及开放测试路网</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市工业和信息化局、市交通运输委、市公安局等部门，西青区、东丽区、滨海新区等有关区人民政府以及海河教育园区管委会按职责分工负责</w:t>
            </w:r>
          </w:p>
        </w:tc>
      </w:tr>
      <w:tr>
        <w:tblPrEx>
          <w:tblCellMar>
            <w:top w:w="0" w:type="dxa"/>
            <w:left w:w="0" w:type="dxa"/>
            <w:bottom w:w="0" w:type="dxa"/>
            <w:right w:w="0" w:type="dxa"/>
          </w:tblCellMar>
        </w:tblPrEx>
        <w:trPr>
          <w:trHeight w:val="907" w:hRule="exact"/>
        </w:trPr>
        <w:tc>
          <w:tcPr>
            <w:tcW w:w="1971"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snapToGrid w:val="0"/>
              <w:spacing w:line="0" w:lineRule="atLeast"/>
              <w:jc w:val="left"/>
              <w:textAlignment w:val="center"/>
              <w:rPr>
                <w:rFonts w:eastAsia="仿宋_GB2312"/>
                <w:sz w:val="28"/>
                <w:szCs w:val="28"/>
              </w:rPr>
            </w:pPr>
            <w:r>
              <w:rPr>
                <w:rFonts w:hint="eastAsia" w:eastAsia="仿宋_GB2312" w:cs="仿宋_GB2312"/>
                <w:kern w:val="0"/>
                <w:sz w:val="28"/>
                <w:szCs w:val="28"/>
                <w:lang w:bidi="ar"/>
              </w:rPr>
              <w:t>（五）发展综合示范应用，培育智能交通生态</w:t>
            </w:r>
          </w:p>
        </w:tc>
        <w:tc>
          <w:tcPr>
            <w:tcW w:w="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15</w:t>
            </w:r>
          </w:p>
        </w:tc>
        <w:tc>
          <w:tcPr>
            <w:tcW w:w="28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大力推动车联网先导区建设</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西青区人民政府牵头，市工业和信息化局、市交通运输委、市公安局等部门配合</w:t>
            </w:r>
          </w:p>
        </w:tc>
      </w:tr>
      <w:tr>
        <w:tblPrEx>
          <w:tblCellMar>
            <w:top w:w="0" w:type="dxa"/>
            <w:left w:w="0" w:type="dxa"/>
            <w:bottom w:w="0" w:type="dxa"/>
            <w:right w:w="0" w:type="dxa"/>
          </w:tblCellMar>
        </w:tblPrEx>
        <w:trPr>
          <w:trHeight w:val="850" w:hRule="atLeast"/>
        </w:trPr>
        <w:tc>
          <w:tcPr>
            <w:tcW w:w="1971" w:type="dxa"/>
            <w:vMerge w:val="continue"/>
            <w:tcBorders>
              <w:left w:val="single" w:color="000000" w:sz="4" w:space="0"/>
              <w:right w:val="single" w:color="auto" w:sz="4" w:space="0"/>
            </w:tcBorders>
            <w:noWrap w:val="0"/>
            <w:tcMar>
              <w:top w:w="15" w:type="dxa"/>
              <w:left w:w="15" w:type="dxa"/>
              <w:right w:w="15" w:type="dxa"/>
            </w:tcMar>
            <w:vAlign w:val="center"/>
          </w:tcPr>
          <w:p>
            <w:pPr>
              <w:snapToGrid w:val="0"/>
              <w:spacing w:line="0" w:lineRule="atLeast"/>
              <w:jc w:val="left"/>
              <w:textAlignment w:val="center"/>
              <w:rPr>
                <w:rFonts w:eastAsia="仿宋_GB2312"/>
                <w:sz w:val="28"/>
                <w:szCs w:val="28"/>
              </w:rPr>
            </w:pPr>
          </w:p>
        </w:tc>
        <w:tc>
          <w:tcPr>
            <w:tcW w:w="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16</w:t>
            </w:r>
          </w:p>
        </w:tc>
        <w:tc>
          <w:tcPr>
            <w:tcW w:w="28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开展丰富的车联网场景示范应用</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spacing w:val="-6"/>
                <w:kern w:val="0"/>
                <w:sz w:val="28"/>
                <w:szCs w:val="28"/>
                <w:lang w:bidi="ar"/>
              </w:rPr>
              <w:t>市工业和信息化局、市交通运输委、市公安局等部门，西青区、东丽区、滨海新区等有关区人民政府以及海河教育园区管委会按职责分工</w:t>
            </w:r>
            <w:r>
              <w:rPr>
                <w:rFonts w:hint="eastAsia" w:eastAsia="仿宋_GB2312" w:cs="仿宋_GB2312"/>
                <w:kern w:val="0"/>
                <w:sz w:val="28"/>
                <w:szCs w:val="28"/>
                <w:lang w:bidi="ar"/>
              </w:rPr>
              <w:t>负责</w:t>
            </w:r>
          </w:p>
        </w:tc>
      </w:tr>
      <w:tr>
        <w:tblPrEx>
          <w:tblCellMar>
            <w:top w:w="0" w:type="dxa"/>
            <w:left w:w="0" w:type="dxa"/>
            <w:bottom w:w="0" w:type="dxa"/>
            <w:right w:w="0" w:type="dxa"/>
          </w:tblCellMar>
        </w:tblPrEx>
        <w:trPr>
          <w:trHeight w:val="850" w:hRule="atLeast"/>
        </w:trPr>
        <w:tc>
          <w:tcPr>
            <w:tcW w:w="1971"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sz w:val="28"/>
                <w:szCs w:val="28"/>
              </w:rPr>
            </w:pPr>
          </w:p>
        </w:tc>
        <w:tc>
          <w:tcPr>
            <w:tcW w:w="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17</w:t>
            </w:r>
          </w:p>
        </w:tc>
        <w:tc>
          <w:tcPr>
            <w:tcW w:w="28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探索城市级智慧交通综合应用</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市交通运输委、市公安局、市工业和信息化局、市委网信办等部门和西青区、东丽区、滨海新区等有关区人民政府按职责分工负责</w:t>
            </w:r>
          </w:p>
        </w:tc>
      </w:tr>
      <w:tr>
        <w:tblPrEx>
          <w:tblCellMar>
            <w:top w:w="0" w:type="dxa"/>
            <w:left w:w="0" w:type="dxa"/>
            <w:bottom w:w="0" w:type="dxa"/>
            <w:right w:w="0" w:type="dxa"/>
          </w:tblCellMar>
        </w:tblPrEx>
        <w:trPr>
          <w:trHeight w:val="850" w:hRule="atLeast"/>
        </w:trPr>
        <w:tc>
          <w:tcPr>
            <w:tcW w:w="197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napToGrid w:val="0"/>
              <w:spacing w:line="0" w:lineRule="atLeast"/>
              <w:jc w:val="left"/>
              <w:textAlignment w:val="center"/>
              <w:rPr>
                <w:rFonts w:eastAsia="仿宋_GB2312"/>
                <w:sz w:val="28"/>
                <w:szCs w:val="28"/>
              </w:rPr>
            </w:pPr>
            <w:r>
              <w:rPr>
                <w:rFonts w:hint="eastAsia" w:eastAsia="仿宋_GB2312" w:cs="仿宋_GB2312"/>
                <w:kern w:val="0"/>
                <w:sz w:val="28"/>
                <w:szCs w:val="28"/>
                <w:lang w:bidi="ar"/>
              </w:rPr>
              <w:t>（六）构建安全保障体系，完善安全管理机制</w:t>
            </w:r>
          </w:p>
        </w:tc>
        <w:tc>
          <w:tcPr>
            <w:tcW w:w="58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18</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加强安全技术能力</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市委网信办、市科技局、市通信管理局、市交通运输委、市公安局、市工业和信息化局等部门按职责分工负责</w:t>
            </w:r>
          </w:p>
        </w:tc>
      </w:tr>
      <w:tr>
        <w:tblPrEx>
          <w:tblCellMar>
            <w:top w:w="0" w:type="dxa"/>
            <w:left w:w="0" w:type="dxa"/>
            <w:bottom w:w="0" w:type="dxa"/>
            <w:right w:w="0" w:type="dxa"/>
          </w:tblCellMar>
        </w:tblPrEx>
        <w:trPr>
          <w:trHeight w:val="850" w:hRule="atLeast"/>
        </w:trPr>
        <w:tc>
          <w:tcPr>
            <w:tcW w:w="1971" w:type="dxa"/>
            <w:vMerge w:val="continue"/>
            <w:tcBorders>
              <w:left w:val="single" w:color="000000" w:sz="4" w:space="0"/>
              <w:right w:val="single" w:color="000000" w:sz="4" w:space="0"/>
            </w:tcBorders>
            <w:noWrap w:val="0"/>
            <w:tcMar>
              <w:top w:w="15" w:type="dxa"/>
              <w:left w:w="15" w:type="dxa"/>
              <w:right w:w="15" w:type="dxa"/>
            </w:tcMar>
            <w:vAlign w:val="center"/>
          </w:tcPr>
          <w:p>
            <w:pPr>
              <w:snapToGrid w:val="0"/>
              <w:spacing w:line="0" w:lineRule="atLeast"/>
              <w:jc w:val="center"/>
              <w:textAlignment w:val="center"/>
              <w:rPr>
                <w:rFonts w:eastAsia="仿宋_GB2312"/>
                <w:sz w:val="28"/>
                <w:szCs w:val="28"/>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19</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建设安全服务支撑体系</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市委网信办、市通信管理局、市交通运输委、市公安局、市工业和信息化局等部门和西青区、东丽区、滨海新区等有关区人民政府按职责分工负责</w:t>
            </w:r>
          </w:p>
        </w:tc>
      </w:tr>
      <w:tr>
        <w:tblPrEx>
          <w:tblCellMar>
            <w:top w:w="0" w:type="dxa"/>
            <w:left w:w="0" w:type="dxa"/>
            <w:bottom w:w="0" w:type="dxa"/>
            <w:right w:w="0" w:type="dxa"/>
          </w:tblCellMar>
        </w:tblPrEx>
        <w:trPr>
          <w:trHeight w:val="850" w:hRule="atLeast"/>
        </w:trPr>
        <w:tc>
          <w:tcPr>
            <w:tcW w:w="197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center"/>
              <w:textAlignment w:val="center"/>
              <w:rPr>
                <w:rFonts w:eastAsia="仿宋_GB2312"/>
                <w:sz w:val="28"/>
                <w:szCs w:val="28"/>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center"/>
              <w:textAlignment w:val="center"/>
              <w:rPr>
                <w:rFonts w:hint="eastAsia" w:ascii="Times New Roman" w:hAnsi="Times New Roman" w:eastAsia="仿宋_GB2312"/>
                <w:sz w:val="32"/>
                <w:szCs w:val="32"/>
              </w:rPr>
            </w:pPr>
            <w:r>
              <w:rPr>
                <w:rFonts w:hint="eastAsia" w:ascii="Times New Roman" w:hAnsi="Times New Roman" w:eastAsia="仿宋_GB2312"/>
                <w:sz w:val="32"/>
                <w:szCs w:val="32"/>
              </w:rPr>
              <w:t>20</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完善安全管理机制</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市委网信办、市通信管理局、市交通运输委、市公安局、市工业和信息化局等部门按职责分工负责</w:t>
            </w:r>
          </w:p>
        </w:tc>
      </w:tr>
      <w:tr>
        <w:tblPrEx>
          <w:tblCellMar>
            <w:top w:w="0" w:type="dxa"/>
            <w:left w:w="0" w:type="dxa"/>
            <w:bottom w:w="0" w:type="dxa"/>
            <w:right w:w="0" w:type="dxa"/>
          </w:tblCellMar>
        </w:tblPrEx>
        <w:trPr>
          <w:trHeight w:val="680" w:hRule="atLeast"/>
        </w:trPr>
        <w:tc>
          <w:tcPr>
            <w:tcW w:w="1374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center"/>
              <w:outlineLvl w:val="9"/>
              <w:rPr>
                <w:rFonts w:hint="eastAsia" w:eastAsia="黑体" w:cs="黑体"/>
                <w:sz w:val="28"/>
                <w:szCs w:val="28"/>
              </w:rPr>
            </w:pPr>
            <w:r>
              <w:rPr>
                <w:rFonts w:hint="eastAsia" w:eastAsia="黑体" w:cs="黑体"/>
                <w:kern w:val="0"/>
                <w:sz w:val="28"/>
                <w:szCs w:val="28"/>
                <w:lang w:bidi="ar"/>
              </w:rPr>
              <w:t>二、保障措施责任分工</w:t>
            </w:r>
          </w:p>
        </w:tc>
      </w:tr>
      <w:tr>
        <w:tblPrEx>
          <w:tblCellMar>
            <w:top w:w="0" w:type="dxa"/>
            <w:left w:w="0" w:type="dxa"/>
            <w:bottom w:w="0" w:type="dxa"/>
            <w:right w:w="0" w:type="dxa"/>
          </w:tblCellMar>
        </w:tblPrEx>
        <w:trPr>
          <w:trHeight w:val="850" w:hRule="atLeast"/>
        </w:trPr>
        <w:tc>
          <w:tcPr>
            <w:tcW w:w="54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（一）加强组织领导协调</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市工业和信息化局、市交通运输委、市公安局、市发展改革委、市科技局、市教委、市财政局、市人社局、市委网信办、市通信管理局、市市场监管委等部门按职责分工负责</w:t>
            </w:r>
          </w:p>
        </w:tc>
      </w:tr>
      <w:tr>
        <w:tblPrEx>
          <w:tblCellMar>
            <w:top w:w="0" w:type="dxa"/>
            <w:left w:w="0" w:type="dxa"/>
            <w:bottom w:w="0" w:type="dxa"/>
            <w:right w:w="0" w:type="dxa"/>
          </w:tblCellMar>
        </w:tblPrEx>
        <w:trPr>
          <w:trHeight w:val="850" w:hRule="atLeast"/>
        </w:trPr>
        <w:tc>
          <w:tcPr>
            <w:tcW w:w="54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（二）加强财政金融支持</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市财政局、市金融局、市发展改革委、市科技局、市工业和信息化局、市委网信办、天津银保监局、天津证监局、人民银行天津分行等部门按职责分工负责</w:t>
            </w:r>
          </w:p>
        </w:tc>
      </w:tr>
      <w:tr>
        <w:tblPrEx>
          <w:tblCellMar>
            <w:top w:w="0" w:type="dxa"/>
            <w:left w:w="0" w:type="dxa"/>
            <w:bottom w:w="0" w:type="dxa"/>
            <w:right w:w="0" w:type="dxa"/>
          </w:tblCellMar>
        </w:tblPrEx>
        <w:trPr>
          <w:trHeight w:val="850" w:hRule="atLeast"/>
        </w:trPr>
        <w:tc>
          <w:tcPr>
            <w:tcW w:w="54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（三）强化创新人才引育</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市教委、市人社局、市科技局、市工业和信息化局等部门按职责分工负责</w:t>
            </w:r>
          </w:p>
        </w:tc>
      </w:tr>
      <w:tr>
        <w:tblPrEx>
          <w:tblCellMar>
            <w:top w:w="0" w:type="dxa"/>
            <w:left w:w="0" w:type="dxa"/>
            <w:bottom w:w="0" w:type="dxa"/>
            <w:right w:w="0" w:type="dxa"/>
          </w:tblCellMar>
        </w:tblPrEx>
        <w:trPr>
          <w:trHeight w:val="850" w:hRule="atLeast"/>
        </w:trPr>
        <w:tc>
          <w:tcPr>
            <w:tcW w:w="54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（四）开展多元交流合作</w:t>
            </w:r>
          </w:p>
        </w:tc>
        <w:tc>
          <w:tcPr>
            <w:tcW w:w="8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0" w:lineRule="atLeast"/>
              <w:jc w:val="left"/>
              <w:textAlignment w:val="center"/>
              <w:rPr>
                <w:rFonts w:eastAsia="仿宋_GB2312" w:cs="仿宋_GB2312"/>
                <w:sz w:val="28"/>
                <w:szCs w:val="28"/>
              </w:rPr>
            </w:pPr>
            <w:r>
              <w:rPr>
                <w:rFonts w:hint="eastAsia" w:eastAsia="仿宋_GB2312" w:cs="仿宋_GB2312"/>
                <w:kern w:val="0"/>
                <w:sz w:val="28"/>
                <w:szCs w:val="28"/>
                <w:lang w:bidi="ar"/>
              </w:rPr>
              <w:t>市工业和信息化局、市发展改革委、市商务局、市合作交流办、市科技局、市教委等部门按职责分工负责</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文星仿宋">
    <w:altName w:val="微软雅黑"/>
    <w:panose1 w:val="00000000000000000000"/>
    <w:charset w:val="86"/>
    <w:family w:val="moder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88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2019-12-18T01:25:39Z</dcterms:created>
  <dc:creator>Administrator</dc:creator>
  <cp:lastModifiedBy>NTKO</cp:lastModifiedBy>
  <dcterms:modified xsi:type="dcterms:W3CDTF">2019-12-18T01:26:24Z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