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jc w:val="center"/>
        <w:rPr>
          <w:rFonts w:hint="eastAsia" w:ascii="仿宋_GB2312" w:eastAsia="仿宋_GB2312"/>
          <w:b/>
          <w:sz w:val="30"/>
          <w:szCs w:val="30"/>
        </w:rPr>
      </w:pPr>
      <w:r>
        <w:rPr>
          <w:rFonts w:hint="eastAsia" w:ascii="仿宋_GB2312" w:eastAsia="仿宋_GB2312"/>
          <w:b/>
          <w:sz w:val="30"/>
          <w:szCs w:val="30"/>
        </w:rPr>
        <w:t>附件  天津市2016年及以前年度新能源汽车推广应用补助资金清算生产企业申报情况表</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817"/>
        <w:gridCol w:w="26"/>
        <w:gridCol w:w="3263"/>
        <w:gridCol w:w="1840"/>
        <w:gridCol w:w="2279"/>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800" w:type="dxa"/>
            <w:vAlign w:val="center"/>
          </w:tcPr>
          <w:p>
            <w:pPr>
              <w:widowControl/>
              <w:adjustRightInd w:val="0"/>
              <w:snapToGrid w:val="0"/>
              <w:spacing w:line="240" w:lineRule="auto"/>
              <w:ind w:firstLine="0" w:firstLineChars="0"/>
              <w:jc w:val="center"/>
              <w:rPr>
                <w:rFonts w:hint="eastAsia"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企业名称</w:t>
            </w:r>
          </w:p>
        </w:tc>
        <w:tc>
          <w:tcPr>
            <w:tcW w:w="1843" w:type="dxa"/>
            <w:gridSpan w:val="2"/>
            <w:vAlign w:val="center"/>
          </w:tcPr>
          <w:p>
            <w:pPr>
              <w:widowControl/>
              <w:adjustRightInd w:val="0"/>
              <w:snapToGrid w:val="0"/>
              <w:spacing w:line="240" w:lineRule="auto"/>
              <w:ind w:firstLine="0" w:firstLineChars="0"/>
              <w:jc w:val="center"/>
              <w:rPr>
                <w:rFonts w:hint="eastAsia"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注册年份</w:t>
            </w:r>
          </w:p>
        </w:tc>
        <w:tc>
          <w:tcPr>
            <w:tcW w:w="3263" w:type="dxa"/>
            <w:vAlign w:val="center"/>
          </w:tcPr>
          <w:p>
            <w:pPr>
              <w:widowControl/>
              <w:adjustRightInd w:val="0"/>
              <w:snapToGrid w:val="0"/>
              <w:spacing w:line="240" w:lineRule="auto"/>
              <w:ind w:firstLine="0" w:firstLineChars="0"/>
              <w:jc w:val="center"/>
              <w:rPr>
                <w:rFonts w:hint="eastAsia"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车辆型号</w:t>
            </w:r>
          </w:p>
        </w:tc>
        <w:tc>
          <w:tcPr>
            <w:tcW w:w="1840" w:type="dxa"/>
            <w:vAlign w:val="center"/>
          </w:tcPr>
          <w:p>
            <w:pPr>
              <w:widowControl/>
              <w:adjustRightInd w:val="0"/>
              <w:snapToGrid w:val="0"/>
              <w:spacing w:line="240" w:lineRule="auto"/>
              <w:ind w:firstLine="0" w:firstLineChars="0"/>
              <w:jc w:val="center"/>
              <w:rPr>
                <w:rFonts w:hint="eastAsia"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申请补助标准（万元/辆）</w:t>
            </w:r>
          </w:p>
        </w:tc>
        <w:tc>
          <w:tcPr>
            <w:tcW w:w="2279" w:type="dxa"/>
            <w:vAlign w:val="center"/>
          </w:tcPr>
          <w:p>
            <w:pPr>
              <w:widowControl/>
              <w:adjustRightInd w:val="0"/>
              <w:snapToGrid w:val="0"/>
              <w:spacing w:line="240" w:lineRule="auto"/>
              <w:ind w:firstLine="0" w:firstLineChars="0"/>
              <w:jc w:val="center"/>
              <w:rPr>
                <w:rFonts w:hint="eastAsia"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推广数量（辆）</w:t>
            </w:r>
          </w:p>
        </w:tc>
        <w:tc>
          <w:tcPr>
            <w:tcW w:w="2149" w:type="dxa"/>
            <w:vAlign w:val="center"/>
          </w:tcPr>
          <w:p>
            <w:pPr>
              <w:widowControl/>
              <w:adjustRightInd w:val="0"/>
              <w:snapToGrid w:val="0"/>
              <w:spacing w:line="240" w:lineRule="auto"/>
              <w:ind w:firstLine="0" w:firstLineChars="0"/>
              <w:jc w:val="center"/>
              <w:rPr>
                <w:rFonts w:hint="eastAsia" w:ascii="仿宋_GB2312" w:hAnsi="微软雅黑" w:eastAsia="仿宋_GB2312" w:cs="宋体"/>
                <w:b/>
                <w:bCs/>
                <w:color w:val="000000"/>
                <w:kern w:val="0"/>
                <w:sz w:val="28"/>
                <w:szCs w:val="28"/>
              </w:rPr>
            </w:pPr>
            <w:r>
              <w:rPr>
                <w:rFonts w:hint="eastAsia" w:ascii="仿宋_GB2312" w:hAnsi="微软雅黑" w:eastAsia="仿宋_GB2312" w:cs="宋体"/>
                <w:b/>
                <w:bCs/>
                <w:color w:val="000000"/>
                <w:kern w:val="0"/>
                <w:sz w:val="28"/>
                <w:szCs w:val="28"/>
              </w:rPr>
              <w:t>申请补助资金（万元）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800" w:type="dxa"/>
            <w:vMerge w:val="restart"/>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天津比亚迪汽车有限公司</w:t>
            </w:r>
          </w:p>
        </w:tc>
        <w:tc>
          <w:tcPr>
            <w:tcW w:w="1843"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2015</w:t>
            </w:r>
          </w:p>
        </w:tc>
        <w:tc>
          <w:tcPr>
            <w:tcW w:w="3263"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TJK6124BEV</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50</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30</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微软雅黑" w:eastAsia="仿宋_GB2312" w:cs="宋体"/>
                <w:color w:val="000000"/>
                <w:kern w:val="0"/>
                <w:sz w:val="28"/>
                <w:szCs w:val="28"/>
              </w:rPr>
            </w:pPr>
          </w:p>
        </w:tc>
        <w:tc>
          <w:tcPr>
            <w:tcW w:w="1843"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2015</w:t>
            </w:r>
          </w:p>
        </w:tc>
        <w:tc>
          <w:tcPr>
            <w:tcW w:w="3263"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TJK6124BEV</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50</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53</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微软雅黑" w:eastAsia="仿宋_GB2312" w:cs="宋体"/>
                <w:color w:val="000000"/>
                <w:kern w:val="0"/>
                <w:sz w:val="28"/>
                <w:szCs w:val="28"/>
              </w:rPr>
            </w:pPr>
          </w:p>
        </w:tc>
        <w:tc>
          <w:tcPr>
            <w:tcW w:w="1843"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2015</w:t>
            </w:r>
          </w:p>
        </w:tc>
        <w:tc>
          <w:tcPr>
            <w:tcW w:w="3263"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TJK6124BEV</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50</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74</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微软雅黑" w:eastAsia="仿宋_GB2312" w:cs="宋体"/>
                <w:color w:val="000000"/>
                <w:kern w:val="0"/>
                <w:sz w:val="28"/>
                <w:szCs w:val="28"/>
              </w:rPr>
            </w:pPr>
          </w:p>
        </w:tc>
        <w:tc>
          <w:tcPr>
            <w:tcW w:w="1843"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2015</w:t>
            </w:r>
          </w:p>
        </w:tc>
        <w:tc>
          <w:tcPr>
            <w:tcW w:w="3263"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TJK6124BEV</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50</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203</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微软雅黑" w:eastAsia="仿宋_GB2312" w:cs="宋体"/>
                <w:color w:val="000000"/>
                <w:kern w:val="0"/>
                <w:sz w:val="28"/>
                <w:szCs w:val="28"/>
              </w:rPr>
            </w:pPr>
          </w:p>
        </w:tc>
        <w:tc>
          <w:tcPr>
            <w:tcW w:w="1843"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2016</w:t>
            </w:r>
          </w:p>
        </w:tc>
        <w:tc>
          <w:tcPr>
            <w:tcW w:w="3263"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TJK6101BEV</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50</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14</w:t>
            </w:r>
          </w:p>
        </w:tc>
        <w:tc>
          <w:tcPr>
            <w:tcW w:w="214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微软雅黑" w:eastAsia="仿宋_GB2312" w:cs="宋体"/>
                <w:color w:val="000000"/>
                <w:kern w:val="0"/>
                <w:sz w:val="28"/>
                <w:szCs w:val="28"/>
              </w:rPr>
            </w:pPr>
          </w:p>
        </w:tc>
        <w:tc>
          <w:tcPr>
            <w:tcW w:w="1843"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2016</w:t>
            </w:r>
          </w:p>
        </w:tc>
        <w:tc>
          <w:tcPr>
            <w:tcW w:w="3263"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TJK6101BEV</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50</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15</w:t>
            </w:r>
          </w:p>
        </w:tc>
        <w:tc>
          <w:tcPr>
            <w:tcW w:w="214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微软雅黑" w:eastAsia="仿宋_GB2312" w:cs="宋体"/>
                <w:color w:val="000000"/>
                <w:kern w:val="0"/>
                <w:sz w:val="28"/>
                <w:szCs w:val="28"/>
              </w:rPr>
            </w:pPr>
          </w:p>
        </w:tc>
        <w:tc>
          <w:tcPr>
            <w:tcW w:w="1843"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2016</w:t>
            </w:r>
          </w:p>
        </w:tc>
        <w:tc>
          <w:tcPr>
            <w:tcW w:w="3263"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TJK6101BEV</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50</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1</w:t>
            </w:r>
          </w:p>
        </w:tc>
        <w:tc>
          <w:tcPr>
            <w:tcW w:w="214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微软雅黑" w:eastAsia="仿宋_GB2312" w:cs="宋体"/>
                <w:color w:val="000000"/>
                <w:kern w:val="0"/>
                <w:sz w:val="28"/>
                <w:szCs w:val="28"/>
              </w:rPr>
            </w:pPr>
          </w:p>
        </w:tc>
        <w:tc>
          <w:tcPr>
            <w:tcW w:w="6946" w:type="dxa"/>
            <w:gridSpan w:val="4"/>
            <w:shd w:val="clear" w:color="auto" w:fill="auto"/>
            <w:noWrap/>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合计</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360</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0" w:type="dxa"/>
            <w:vMerge w:val="restart"/>
            <w:shd w:val="clear" w:color="auto" w:fill="auto"/>
            <w:noWrap/>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国宏汽车集团有限公司、</w:t>
            </w:r>
          </w:p>
        </w:tc>
        <w:tc>
          <w:tcPr>
            <w:tcW w:w="1817"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2015</w:t>
            </w:r>
          </w:p>
        </w:tc>
        <w:tc>
          <w:tcPr>
            <w:tcW w:w="3289"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HFT5023XXYBEV03</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5.2668</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100</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p>
        </w:tc>
        <w:tc>
          <w:tcPr>
            <w:tcW w:w="1817"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2015</w:t>
            </w:r>
          </w:p>
        </w:tc>
        <w:tc>
          <w:tcPr>
            <w:tcW w:w="3289"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HFT5023XXYBEV03</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5.1948</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52</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270.1296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p>
        </w:tc>
        <w:tc>
          <w:tcPr>
            <w:tcW w:w="1817"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2015</w:t>
            </w:r>
          </w:p>
        </w:tc>
        <w:tc>
          <w:tcPr>
            <w:tcW w:w="3289"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HFT5021XXYBEV03</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5.184</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53</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274.752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800" w:type="dxa"/>
            <w:vMerge w:val="continue"/>
            <w:vAlign w:val="center"/>
          </w:tcPr>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p>
        </w:tc>
        <w:tc>
          <w:tcPr>
            <w:tcW w:w="6946" w:type="dxa"/>
            <w:gridSpan w:val="4"/>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合计</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205</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1071.562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800" w:type="dxa"/>
            <w:vMerge w:val="restart"/>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天津清源电动车辆有限责任公司</w:t>
            </w:r>
          </w:p>
        </w:tc>
        <w:tc>
          <w:tcPr>
            <w:tcW w:w="1817"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2015</w:t>
            </w:r>
          </w:p>
        </w:tc>
        <w:tc>
          <w:tcPr>
            <w:tcW w:w="3289" w:type="dxa"/>
            <w:gridSpan w:val="2"/>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QY5021XXYBEVYL</w:t>
            </w:r>
          </w:p>
        </w:tc>
        <w:tc>
          <w:tcPr>
            <w:tcW w:w="1840"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2.448</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905</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2215.44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800" w:type="dxa"/>
            <w:vMerge w:val="continue"/>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p>
        </w:tc>
        <w:tc>
          <w:tcPr>
            <w:tcW w:w="6946" w:type="dxa"/>
            <w:gridSpan w:val="4"/>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合计</w:t>
            </w:r>
          </w:p>
        </w:tc>
        <w:tc>
          <w:tcPr>
            <w:tcW w:w="2279" w:type="dxa"/>
            <w:shd w:val="clear" w:color="auto" w:fill="auto"/>
            <w:vAlign w:val="center"/>
          </w:tcPr>
          <w:p>
            <w:pPr>
              <w:widowControl/>
              <w:adjustRightInd w:val="0"/>
              <w:snapToGrid w:val="0"/>
              <w:spacing w:line="240" w:lineRule="auto"/>
              <w:ind w:firstLine="0" w:firstLineChars="0"/>
              <w:jc w:val="center"/>
              <w:rPr>
                <w:rFonts w:hint="eastAsia" w:ascii="仿宋_GB2312" w:hAnsi="微软雅黑" w:eastAsia="仿宋_GB2312" w:cs="宋体"/>
                <w:kern w:val="0"/>
                <w:sz w:val="28"/>
                <w:szCs w:val="28"/>
              </w:rPr>
            </w:pPr>
            <w:r>
              <w:rPr>
                <w:rFonts w:hint="eastAsia" w:ascii="仿宋_GB2312" w:hAnsi="微软雅黑" w:eastAsia="仿宋_GB2312" w:cs="宋体"/>
                <w:kern w:val="0"/>
                <w:sz w:val="28"/>
                <w:szCs w:val="28"/>
              </w:rPr>
              <w:t>905</w:t>
            </w:r>
          </w:p>
        </w:tc>
        <w:tc>
          <w:tcPr>
            <w:tcW w:w="2149" w:type="dxa"/>
            <w:shd w:val="clear" w:color="auto" w:fill="auto"/>
            <w:noWrap/>
            <w:vAlign w:val="center"/>
          </w:tcPr>
          <w:p>
            <w:pPr>
              <w:widowControl/>
              <w:adjustRightInd w:val="0"/>
              <w:snapToGrid w:val="0"/>
              <w:spacing w:line="240" w:lineRule="auto"/>
              <w:ind w:firstLine="0" w:firstLineChars="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2215.44</w:t>
            </w:r>
          </w:p>
        </w:tc>
      </w:tr>
    </w:tbl>
    <w:p>
      <w:pPr>
        <w:ind w:left="0" w:leftChars="0" w:firstLine="0" w:firstLineChars="0"/>
        <w:rPr>
          <w:rFonts w:hint="eastAsia" w:ascii="仿宋_GB2312" w:eastAsia="仿宋_GB2312"/>
          <w:sz w:val="30"/>
          <w:szCs w:val="30"/>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53DF"/>
    <w:rsid w:val="000B0B5A"/>
    <w:rsid w:val="003771D8"/>
    <w:rsid w:val="003A0413"/>
    <w:rsid w:val="004F0CBC"/>
    <w:rsid w:val="00AA6FB7"/>
    <w:rsid w:val="00AE53DF"/>
    <w:rsid w:val="00FC4815"/>
    <w:rsid w:val="00FE3047"/>
    <w:rsid w:val="7DB7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150</Words>
  <Characters>856</Characters>
  <Lines>7</Lines>
  <Paragraphs>2</Paragraphs>
  <TotalTime>26</TotalTime>
  <ScaleCrop>false</ScaleCrop>
  <LinksUpToDate>false</LinksUpToDate>
  <CharactersWithSpaces>1004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2018-12-21T07:40:00Z</dcterms:created>
  <dc:creator>THTF</dc:creator>
  <cp:lastModifiedBy>阳光售后客服  </cp:lastModifiedBy>
  <dcterms:modified xsi:type="dcterms:W3CDTF">2018-12-21T10:32:42Z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