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/>
          <w:sz w:val="20"/>
          <w:szCs w:val="28"/>
        </w:rPr>
      </w:pPr>
      <w:bookmarkStart w:id="0" w:name="_Hlk161129586"/>
      <w:bookmarkStart w:id="1" w:name="_Hlk161129244"/>
      <w:bookmarkStart w:id="2" w:name="_Hlk161129148"/>
      <w:bookmarkStart w:id="3" w:name="_Hlk161129178"/>
      <w:bookmarkStart w:id="4" w:name="_Hlk161125750"/>
      <w:bookmarkStart w:id="5" w:name="_Hlk161125769"/>
      <w:bookmarkStart w:id="6" w:name="_Hlk161125768"/>
    </w:p>
    <w:p>
      <w:pPr>
        <w:rPr>
          <w:rFonts w:ascii="Times New Roman"/>
          <w:sz w:val="20"/>
          <w:szCs w:val="28"/>
        </w:rPr>
      </w:pPr>
    </w:p>
    <w:p>
      <w:pPr>
        <w:rPr>
          <w:rFonts w:ascii="Times New Roman"/>
          <w:sz w:val="20"/>
          <w:szCs w:val="28"/>
        </w:rPr>
      </w:pPr>
    </w:p>
    <w:p>
      <w:pPr>
        <w:rPr>
          <w:rFonts w:ascii="Times New Roman"/>
          <w:sz w:val="20"/>
          <w:szCs w:val="28"/>
        </w:rPr>
      </w:pPr>
    </w:p>
    <w:p>
      <w:pPr>
        <w:rPr>
          <w:rFonts w:ascii="Times New Roman"/>
          <w:sz w:val="20"/>
          <w:szCs w:val="28"/>
        </w:rPr>
      </w:pPr>
    </w:p>
    <w:bookmarkEnd w:id="0"/>
    <w:p>
      <w:pPr>
        <w:rPr>
          <w:rFonts w:ascii="Times New Roman"/>
          <w:sz w:val="20"/>
          <w:szCs w:val="28"/>
        </w:rPr>
      </w:pPr>
    </w:p>
    <w:p>
      <w:pPr>
        <w:rPr>
          <w:rFonts w:ascii="Times New Roman"/>
          <w:sz w:val="20"/>
          <w:szCs w:val="28"/>
        </w:rPr>
      </w:pPr>
    </w:p>
    <w:p>
      <w:pPr>
        <w:rPr>
          <w:rFonts w:ascii="Times New Roman"/>
          <w:sz w:val="20"/>
          <w:szCs w:val="28"/>
        </w:rPr>
      </w:pPr>
    </w:p>
    <w:p>
      <w:pPr>
        <w:rPr>
          <w:rFonts w:ascii="Times New Roman"/>
          <w:sz w:val="20"/>
          <w:szCs w:val="28"/>
        </w:rPr>
      </w:pPr>
    </w:p>
    <w:p>
      <w:pPr>
        <w:rPr>
          <w:rFonts w:ascii="Times New Roman"/>
          <w:sz w:val="20"/>
          <w:szCs w:val="28"/>
        </w:rPr>
      </w:pPr>
    </w:p>
    <w:p>
      <w:pPr>
        <w:rPr>
          <w:rFonts w:ascii="Times New Roman"/>
          <w:sz w:val="20"/>
          <w:szCs w:val="28"/>
        </w:rPr>
      </w:pPr>
    </w:p>
    <w:p>
      <w:pPr>
        <w:rPr>
          <w:rFonts w:ascii="Times New Roman"/>
          <w:sz w:val="20"/>
          <w:szCs w:val="28"/>
        </w:rPr>
      </w:pPr>
    </w:p>
    <w:p>
      <w:pPr>
        <w:spacing w:before="10"/>
        <w:rPr>
          <w:rFonts w:ascii="Times New Roman"/>
          <w:sz w:val="19"/>
          <w:szCs w:val="28"/>
        </w:rPr>
      </w:pPr>
    </w:p>
    <w:p>
      <w:pPr>
        <w:jc w:val="center"/>
        <w:rPr>
          <w:rFonts w:ascii="宋体" w:hAnsi="宋体" w:eastAsia="宋体"/>
          <w:sz w:val="56"/>
          <w:szCs w:val="56"/>
        </w:rPr>
      </w:pPr>
      <w:r>
        <w:rPr>
          <w:rFonts w:hint="eastAsia" w:ascii="宋体" w:hAnsi="宋体" w:eastAsia="宋体" w:cs="微软雅黑"/>
          <w:sz w:val="56"/>
          <w:szCs w:val="56"/>
        </w:rPr>
        <w:t>天津市无线电监测站</w:t>
      </w:r>
    </w:p>
    <w:bookmarkEnd w:id="1"/>
    <w:p>
      <w:pPr>
        <w:jc w:val="center"/>
        <w:rPr>
          <w:rFonts w:ascii="宋体" w:hAnsi="宋体" w:eastAsia="宋体" w:cs="微软雅黑"/>
          <w:sz w:val="56"/>
          <w:szCs w:val="56"/>
        </w:rPr>
      </w:pPr>
      <w:r>
        <w:rPr>
          <w:rFonts w:hint="eastAsia" w:ascii="宋体" w:hAnsi="宋体" w:eastAsia="宋体" w:cs="微软雅黑"/>
          <w:sz w:val="56"/>
          <w:szCs w:val="56"/>
        </w:rPr>
        <w:t>项目支出绩效目标表</w:t>
      </w:r>
    </w:p>
    <w:p>
      <w:pPr>
        <w:jc w:val="center"/>
        <w:rPr>
          <w:rFonts w:ascii="宋体" w:hAnsi="宋体" w:eastAsia="宋体"/>
          <w:sz w:val="56"/>
          <w:szCs w:val="56"/>
        </w:rPr>
      </w:pPr>
      <w:r>
        <w:rPr>
          <w:rFonts w:hint="eastAsia" w:ascii="宋体" w:hAnsi="宋体" w:eastAsia="宋体" w:cs="微软雅黑"/>
          <w:sz w:val="56"/>
          <w:szCs w:val="56"/>
        </w:rPr>
        <w:t>（</w:t>
      </w:r>
      <w:r>
        <w:rPr>
          <w:rFonts w:hint="eastAsia" w:ascii="宋体" w:hAnsi="宋体" w:eastAsia="宋体"/>
          <w:sz w:val="56"/>
          <w:szCs w:val="56"/>
        </w:rPr>
        <w:t xml:space="preserve">2024 </w:t>
      </w:r>
      <w:r>
        <w:rPr>
          <w:rFonts w:hint="eastAsia" w:ascii="宋体" w:hAnsi="宋体" w:eastAsia="宋体" w:cs="微软雅黑"/>
          <w:sz w:val="56"/>
          <w:szCs w:val="56"/>
        </w:rPr>
        <w:t>年）</w:t>
      </w:r>
    </w:p>
    <w:bookmarkEnd w:id="2"/>
    <w:bookmarkEnd w:id="3"/>
    <w:p>
      <w:pPr>
        <w:pStyle w:val="4"/>
        <w:jc w:val="center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>
      <w:pPr>
        <w:tabs>
          <w:tab w:val="left" w:pos="765"/>
        </w:tabs>
        <w:spacing w:before="54"/>
        <w:ind w:left="2"/>
        <w:jc w:val="center"/>
        <w:rPr>
          <w:rFonts w:hint="eastAsia" w:eastAsiaTheme="minorEastAsia"/>
          <w:sz w:val="36"/>
        </w:rPr>
      </w:pPr>
      <w:r>
        <w:rPr>
          <w:sz w:val="36"/>
        </w:rPr>
        <w:t>目</w:t>
      </w:r>
      <w:r>
        <w:rPr>
          <w:sz w:val="36"/>
        </w:rPr>
        <w:tab/>
      </w:r>
      <w:r>
        <w:rPr>
          <w:sz w:val="36"/>
        </w:rPr>
        <w:t>录</w:t>
      </w:r>
    </w:p>
    <w:p>
      <w:pPr>
        <w:tabs>
          <w:tab w:val="left" w:pos="765"/>
        </w:tabs>
        <w:spacing w:before="54"/>
        <w:ind w:left="2"/>
        <w:jc w:val="center"/>
        <w:rPr>
          <w:rFonts w:hint="eastAsia" w:eastAsiaTheme="minorEastAsia"/>
          <w:spacing w:val="-2"/>
          <w:sz w:val="24"/>
        </w:rPr>
      </w:pPr>
    </w:p>
    <w:p>
      <w:pPr>
        <w:tabs>
          <w:tab w:val="left" w:pos="1461"/>
        </w:tabs>
        <w:spacing w:line="417" w:lineRule="exact"/>
        <w:ind w:firstLine="236" w:firstLineChars="100"/>
        <w:rPr>
          <w:rFonts w:ascii="微软雅黑" w:hAnsi="微软雅黑" w:eastAsia="微软雅黑" w:cs="微软雅黑"/>
          <w:spacing w:val="-2"/>
          <w:sz w:val="24"/>
        </w:rPr>
      </w:pPr>
      <w:r>
        <w:rPr>
          <w:rFonts w:ascii="微软雅黑" w:hAnsi="微软雅黑" w:eastAsia="微软雅黑" w:cs="微软雅黑"/>
          <w:spacing w:val="-2"/>
          <w:sz w:val="24"/>
        </w:rPr>
        <w:t>1.</w:t>
      </w:r>
      <w:r>
        <w:fldChar w:fldCharType="begin"/>
      </w:r>
      <w:r>
        <w:instrText xml:space="preserve"> HYPERLINK \l "_bookmark25" </w:instrText>
      </w:r>
      <w:r>
        <w:fldChar w:fldCharType="separate"/>
      </w:r>
      <w:r>
        <w:rPr>
          <w:rFonts w:hint="eastAsia" w:ascii="微软雅黑" w:hAnsi="微软雅黑" w:eastAsia="微软雅黑" w:cs="微软雅黑"/>
          <w:spacing w:val="-2"/>
          <w:sz w:val="24"/>
        </w:rPr>
        <w:t>无线电管理基础设施建设</w:t>
      </w:r>
      <w:r>
        <w:rPr>
          <w:rFonts w:ascii="微软雅黑" w:hAnsi="微软雅黑" w:eastAsia="微软雅黑" w:cs="微软雅黑"/>
          <w:spacing w:val="-2"/>
          <w:sz w:val="24"/>
        </w:rPr>
        <w:t>-</w:t>
      </w:r>
      <w:r>
        <w:rPr>
          <w:rFonts w:hint="eastAsia" w:ascii="微软雅黑" w:hAnsi="微软雅黑" w:eastAsia="微软雅黑" w:cs="微软雅黑"/>
          <w:spacing w:val="-2"/>
          <w:sz w:val="24"/>
        </w:rPr>
        <w:t>中央绩效目标表</w:t>
      </w:r>
      <w:r>
        <w:rPr>
          <w:rFonts w:hint="eastAsia" w:ascii="微软雅黑" w:hAnsi="微软雅黑" w:eastAsia="微软雅黑" w:cs="微软雅黑"/>
          <w:spacing w:val="-2"/>
          <w:sz w:val="24"/>
        </w:rPr>
        <w:fldChar w:fldCharType="end"/>
      </w:r>
    </w:p>
    <w:p>
      <w:pPr>
        <w:tabs>
          <w:tab w:val="left" w:pos="1461"/>
        </w:tabs>
        <w:spacing w:line="417" w:lineRule="exact"/>
        <w:ind w:firstLine="236" w:firstLineChars="100"/>
        <w:rPr>
          <w:rFonts w:ascii="微软雅黑" w:hAnsi="微软雅黑" w:eastAsia="微软雅黑" w:cs="微软雅黑"/>
          <w:spacing w:val="-2"/>
          <w:sz w:val="24"/>
        </w:rPr>
      </w:pPr>
      <w:r>
        <w:rPr>
          <w:rFonts w:ascii="微软雅黑" w:hAnsi="微软雅黑" w:eastAsia="微软雅黑" w:cs="微软雅黑"/>
          <w:spacing w:val="-2"/>
          <w:sz w:val="24"/>
        </w:rPr>
        <w:t>2.</w:t>
      </w:r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rFonts w:hint="eastAsia" w:ascii="微软雅黑" w:hAnsi="微软雅黑" w:eastAsia="微软雅黑" w:cs="微软雅黑"/>
          <w:spacing w:val="-2"/>
          <w:sz w:val="24"/>
        </w:rPr>
        <w:t>无线电管理专项监管</w:t>
      </w:r>
      <w:r>
        <w:rPr>
          <w:rFonts w:ascii="微软雅黑" w:hAnsi="微软雅黑" w:eastAsia="微软雅黑" w:cs="微软雅黑"/>
          <w:spacing w:val="-2"/>
          <w:sz w:val="24"/>
        </w:rPr>
        <w:t>-</w:t>
      </w:r>
      <w:r>
        <w:rPr>
          <w:rFonts w:hint="eastAsia" w:ascii="微软雅黑" w:hAnsi="微软雅黑" w:eastAsia="微软雅黑" w:cs="微软雅黑"/>
          <w:spacing w:val="-2"/>
          <w:sz w:val="24"/>
        </w:rPr>
        <w:t>中央绩效目标表</w:t>
      </w:r>
      <w:r>
        <w:rPr>
          <w:rFonts w:hint="eastAsia" w:ascii="微软雅黑" w:hAnsi="微软雅黑" w:eastAsia="微软雅黑" w:cs="微软雅黑"/>
          <w:spacing w:val="-2"/>
          <w:sz w:val="24"/>
        </w:rPr>
        <w:fldChar w:fldCharType="end"/>
      </w:r>
    </w:p>
    <w:p>
      <w:pPr>
        <w:tabs>
          <w:tab w:val="left" w:pos="1461"/>
        </w:tabs>
        <w:spacing w:line="417" w:lineRule="exact"/>
        <w:ind w:firstLine="236" w:firstLineChars="100"/>
        <w:rPr>
          <w:rFonts w:ascii="微软雅黑" w:hAnsi="微软雅黑" w:eastAsia="微软雅黑" w:cs="微软雅黑"/>
          <w:spacing w:val="-2"/>
          <w:sz w:val="24"/>
        </w:rPr>
      </w:pPr>
      <w:r>
        <w:rPr>
          <w:rFonts w:ascii="微软雅黑" w:hAnsi="微软雅黑" w:eastAsia="微软雅黑" w:cs="微软雅黑"/>
          <w:spacing w:val="-2"/>
          <w:sz w:val="24"/>
        </w:rPr>
        <w:t>3.</w:t>
      </w:r>
      <w:r>
        <w:fldChar w:fldCharType="begin"/>
      </w:r>
      <w:r>
        <w:instrText xml:space="preserve"> HYPERLINK \l "_bookmark27" </w:instrText>
      </w:r>
      <w:r>
        <w:fldChar w:fldCharType="separate"/>
      </w:r>
      <w:r>
        <w:rPr>
          <w:rFonts w:hint="eastAsia" w:ascii="微软雅黑" w:hAnsi="微软雅黑" w:eastAsia="微软雅黑" w:cs="微软雅黑"/>
          <w:spacing w:val="-2"/>
          <w:sz w:val="24"/>
        </w:rPr>
        <w:t>无线电基础设施建设项目</w:t>
      </w:r>
      <w:r>
        <w:rPr>
          <w:rFonts w:ascii="微软雅黑" w:hAnsi="微软雅黑" w:eastAsia="微软雅黑" w:cs="微软雅黑"/>
          <w:spacing w:val="-2"/>
          <w:sz w:val="24"/>
        </w:rPr>
        <w:t>-</w:t>
      </w:r>
      <w:r>
        <w:rPr>
          <w:rFonts w:hint="eastAsia" w:ascii="微软雅黑" w:hAnsi="微软雅黑" w:eastAsia="微软雅黑" w:cs="微软雅黑"/>
          <w:spacing w:val="-2"/>
          <w:sz w:val="24"/>
        </w:rPr>
        <w:t>中央绩效目标表</w:t>
      </w:r>
      <w:r>
        <w:rPr>
          <w:rFonts w:hint="eastAsia" w:ascii="微软雅黑" w:hAnsi="微软雅黑" w:eastAsia="微软雅黑" w:cs="微软雅黑"/>
          <w:spacing w:val="-2"/>
          <w:sz w:val="24"/>
        </w:rPr>
        <w:fldChar w:fldCharType="end"/>
      </w:r>
    </w:p>
    <w:p>
      <w:pPr>
        <w:tabs>
          <w:tab w:val="left" w:pos="1461"/>
        </w:tabs>
        <w:spacing w:line="417" w:lineRule="exact"/>
        <w:ind w:firstLine="236" w:firstLineChars="100"/>
        <w:rPr>
          <w:rFonts w:ascii="微软雅黑" w:hAnsi="微软雅黑" w:eastAsia="微软雅黑" w:cs="微软雅黑"/>
          <w:spacing w:val="-2"/>
          <w:sz w:val="24"/>
        </w:rPr>
      </w:pPr>
      <w:r>
        <w:rPr>
          <w:rFonts w:ascii="微软雅黑" w:hAnsi="微软雅黑" w:eastAsia="微软雅黑" w:cs="微软雅黑"/>
          <w:spacing w:val="-2"/>
          <w:sz w:val="24"/>
        </w:rPr>
        <w:t>4.</w:t>
      </w:r>
      <w:r>
        <w:fldChar w:fldCharType="begin"/>
      </w:r>
      <w:r>
        <w:instrText xml:space="preserve"> HYPERLINK \l "_bookmark28" </w:instrText>
      </w:r>
      <w:r>
        <w:fldChar w:fldCharType="separate"/>
      </w:r>
      <w:r>
        <w:rPr>
          <w:rFonts w:hint="eastAsia" w:ascii="微软雅黑" w:hAnsi="微软雅黑" w:eastAsia="微软雅黑" w:cs="微软雅黑"/>
          <w:spacing w:val="-2"/>
          <w:sz w:val="24"/>
        </w:rPr>
        <w:t>无线电技术设施运行维护</w:t>
      </w:r>
      <w:r>
        <w:rPr>
          <w:rFonts w:ascii="微软雅黑" w:hAnsi="微软雅黑" w:eastAsia="微软雅黑" w:cs="微软雅黑"/>
          <w:spacing w:val="-2"/>
          <w:sz w:val="24"/>
        </w:rPr>
        <w:t>-</w:t>
      </w:r>
      <w:r>
        <w:rPr>
          <w:rFonts w:hint="eastAsia" w:ascii="微软雅黑" w:hAnsi="微软雅黑" w:eastAsia="微软雅黑" w:cs="微软雅黑"/>
          <w:spacing w:val="-2"/>
          <w:sz w:val="24"/>
        </w:rPr>
        <w:t>中央绩效目标表</w:t>
      </w:r>
      <w:r>
        <w:rPr>
          <w:rFonts w:hint="eastAsia" w:ascii="微软雅黑" w:hAnsi="微软雅黑" w:eastAsia="微软雅黑" w:cs="微软雅黑"/>
          <w:spacing w:val="-2"/>
          <w:sz w:val="24"/>
        </w:rPr>
        <w:fldChar w:fldCharType="end"/>
      </w:r>
    </w:p>
    <w:p>
      <w:pPr>
        <w:tabs>
          <w:tab w:val="left" w:pos="1461"/>
        </w:tabs>
        <w:spacing w:line="417" w:lineRule="exact"/>
        <w:ind w:firstLine="236" w:firstLineChars="100"/>
        <w:rPr>
          <w:rFonts w:ascii="微软雅黑" w:hAnsi="微软雅黑" w:eastAsia="微软雅黑" w:cs="微软雅黑"/>
          <w:spacing w:val="-2"/>
          <w:sz w:val="24"/>
        </w:rPr>
      </w:pPr>
      <w:r>
        <w:rPr>
          <w:rFonts w:ascii="微软雅黑" w:hAnsi="微软雅黑" w:eastAsia="微软雅黑" w:cs="微软雅黑"/>
          <w:spacing w:val="-2"/>
          <w:sz w:val="24"/>
        </w:rPr>
        <w:t>5.</w:t>
      </w:r>
      <w:r>
        <w:fldChar w:fldCharType="begin"/>
      </w:r>
      <w:r>
        <w:instrText xml:space="preserve"> HYPERLINK \l "_bookmark29" </w:instrText>
      </w:r>
      <w:r>
        <w:fldChar w:fldCharType="separate"/>
      </w:r>
      <w:r>
        <w:rPr>
          <w:rFonts w:hint="eastAsia" w:ascii="微软雅黑" w:hAnsi="微软雅黑" w:eastAsia="微软雅黑" w:cs="微软雅黑"/>
          <w:spacing w:val="-2"/>
          <w:sz w:val="24"/>
        </w:rPr>
        <w:t>无线电设施运行维护费</w:t>
      </w:r>
      <w:r>
        <w:rPr>
          <w:rFonts w:ascii="微软雅黑" w:hAnsi="微软雅黑" w:eastAsia="微软雅黑" w:cs="微软雅黑"/>
          <w:spacing w:val="-2"/>
          <w:sz w:val="24"/>
        </w:rPr>
        <w:t>-</w:t>
      </w:r>
      <w:r>
        <w:rPr>
          <w:rFonts w:hint="eastAsia" w:ascii="微软雅黑" w:hAnsi="微软雅黑" w:eastAsia="微软雅黑" w:cs="微软雅黑"/>
          <w:spacing w:val="-2"/>
          <w:sz w:val="24"/>
        </w:rPr>
        <w:t>中央绩效目标表</w:t>
      </w:r>
      <w:r>
        <w:rPr>
          <w:rFonts w:hint="eastAsia" w:ascii="微软雅黑" w:hAnsi="微软雅黑" w:eastAsia="微软雅黑" w:cs="微软雅黑"/>
          <w:spacing w:val="-2"/>
          <w:sz w:val="24"/>
        </w:rPr>
        <w:fldChar w:fldCharType="end"/>
      </w:r>
    </w:p>
    <w:p>
      <w:pPr>
        <w:tabs>
          <w:tab w:val="left" w:pos="1461"/>
        </w:tabs>
        <w:spacing w:line="417" w:lineRule="exact"/>
        <w:ind w:firstLine="236" w:firstLineChars="100"/>
        <w:rPr>
          <w:rFonts w:ascii="微软雅黑" w:hAnsi="微软雅黑" w:eastAsia="微软雅黑" w:cs="微软雅黑"/>
          <w:spacing w:val="-2"/>
          <w:sz w:val="24"/>
        </w:rPr>
      </w:pPr>
      <w:r>
        <w:rPr>
          <w:rFonts w:ascii="微软雅黑" w:hAnsi="微软雅黑" w:eastAsia="微软雅黑" w:cs="微软雅黑"/>
          <w:spacing w:val="-2"/>
          <w:sz w:val="24"/>
        </w:rPr>
        <w:t>6.</w:t>
      </w:r>
      <w:r>
        <w:fldChar w:fldCharType="begin"/>
      </w:r>
      <w:r>
        <w:instrText xml:space="preserve"> HYPERLINK \l "_bookmark30" </w:instrText>
      </w:r>
      <w:r>
        <w:fldChar w:fldCharType="separate"/>
      </w:r>
      <w:r>
        <w:rPr>
          <w:rFonts w:hint="eastAsia" w:ascii="微软雅黑" w:hAnsi="微软雅黑" w:eastAsia="微软雅黑" w:cs="微软雅黑"/>
          <w:spacing w:val="-2"/>
          <w:sz w:val="24"/>
        </w:rPr>
        <w:t>无线电专项监管</w:t>
      </w:r>
      <w:r>
        <w:rPr>
          <w:rFonts w:ascii="微软雅黑" w:hAnsi="微软雅黑" w:eastAsia="微软雅黑" w:cs="微软雅黑"/>
          <w:spacing w:val="-2"/>
          <w:sz w:val="24"/>
        </w:rPr>
        <w:t>-</w:t>
      </w:r>
      <w:r>
        <w:rPr>
          <w:rFonts w:hint="eastAsia" w:ascii="微软雅黑" w:hAnsi="微软雅黑" w:eastAsia="微软雅黑" w:cs="微软雅黑"/>
          <w:spacing w:val="-2"/>
          <w:sz w:val="24"/>
        </w:rPr>
        <w:t>中央绩效目标表</w:t>
      </w:r>
      <w:r>
        <w:rPr>
          <w:rFonts w:hint="eastAsia" w:ascii="微软雅黑" w:hAnsi="微软雅黑" w:eastAsia="微软雅黑" w:cs="微软雅黑"/>
          <w:spacing w:val="-2"/>
          <w:sz w:val="24"/>
        </w:rPr>
        <w:fldChar w:fldCharType="end"/>
      </w:r>
    </w:p>
    <w:p>
      <w:pPr>
        <w:tabs>
          <w:tab w:val="left" w:pos="1461"/>
        </w:tabs>
        <w:ind w:firstLine="1180" w:firstLineChars="500"/>
        <w:rPr>
          <w:rFonts w:cs="Arabic Typesetting"/>
          <w:spacing w:val="-2"/>
          <w:sz w:val="24"/>
        </w:rPr>
      </w:pPr>
    </w:p>
    <w:p>
      <w:pPr>
        <w:tabs>
          <w:tab w:val="left" w:pos="1461"/>
        </w:tabs>
        <w:ind w:firstLine="1180" w:firstLineChars="500"/>
        <w:rPr>
          <w:rFonts w:cs="Arabic Typesetting"/>
          <w:spacing w:val="-2"/>
          <w:sz w:val="24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p>
      <w:pPr>
        <w:pStyle w:val="4"/>
        <w:spacing w:line="472" w:lineRule="exact"/>
        <w:ind w:firstLine="560" w:firstLineChars="200"/>
        <w:rPr>
          <w:rFonts w:hint="eastAsia" w:eastAsiaTheme="minorEastAsia"/>
        </w:rPr>
      </w:pPr>
    </w:p>
    <w:bookmarkEnd w:id="4"/>
    <w:bookmarkEnd w:id="5"/>
    <w:bookmarkEnd w:id="6"/>
    <w:p>
      <w:pPr>
        <w:rPr>
          <w:rFonts w:hint="eastAsia" w:eastAsiaTheme="minorEastAsia"/>
        </w:rPr>
      </w:pPr>
    </w:p>
    <w:p>
      <w:pPr>
        <w:widowControl/>
        <w:autoSpaceDE/>
        <w:autoSpaceDN/>
        <w:ind w:firstLine="560"/>
        <w:outlineLvl w:val="3"/>
      </w:pPr>
      <w:bookmarkStart w:id="7" w:name="_Toc157677466"/>
      <w:r>
        <w:rPr>
          <w:rFonts w:hint="eastAsia" w:ascii="方正仿宋_GBK" w:hAnsi="方正仿宋_GBK" w:eastAsia="方正仿宋_GBK" w:cs="方正仿宋_GBK"/>
          <w:kern w:val="0"/>
          <w:sz w:val="28"/>
          <w:szCs w:val="24"/>
          <w:lang w:val="en-US" w:eastAsia="zh-CN"/>
        </w:rPr>
        <w:t>1</w:t>
      </w:r>
      <w:r>
        <w:rPr>
          <w:rFonts w:ascii="方正仿宋_GBK" w:hAnsi="方正仿宋_GBK" w:eastAsia="方正仿宋_GBK" w:cs="方正仿宋_GBK"/>
          <w:kern w:val="0"/>
          <w:sz w:val="28"/>
          <w:szCs w:val="24"/>
          <w:lang w:eastAsia="uk-UA"/>
        </w:rPr>
        <w:t>.无线电管理基础设施建设-中央绩效目标表</w:t>
      </w:r>
      <w:bookmarkEnd w:id="7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r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  <w:t>322206天津市无线电监测站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无线电管理基础设施建设-中央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9.14</w:t>
            </w:r>
          </w:p>
        </w:tc>
        <w:tc>
          <w:tcPr>
            <w:tcW w:w="1587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9.14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无线电基础设施建设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1.目标内容1：开展天津市固定监测站升级改造项目（五期）、天津市四类固定监测站升级改造项目（一期）、电磁空间安全管控专项提升工程（一期）项目</w:t>
            </w:r>
          </w:p>
        </w:tc>
      </w:tr>
    </w:tbl>
    <w:p>
      <w:pPr>
        <w:widowControl/>
        <w:autoSpaceDE/>
        <w:autoSpaceDN/>
        <w:spacing w:line="2" w:lineRule="exact"/>
        <w:jc w:val="center"/>
      </w:pPr>
      <w:r>
        <w:rPr>
          <w:rFonts w:ascii="方正书宋_GBK" w:hAnsi="方正书宋_GBK" w:eastAsia="方正书宋_GBK" w:cs="方正书宋_GBK"/>
          <w:kern w:val="0"/>
          <w:sz w:val="21"/>
          <w:szCs w:val="24"/>
          <w:lang w:eastAsia="uk-UA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建设无线电管理设施数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天津市固定监测站升级改造项目（五期）、天津市四类固定监测站升级改造项目（一期）、电磁空间安全管控专项提升工程（一期）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3个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设施验收达标率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建设项目质量达标率(仅限组织验收的项目，包括当年的预算项目和以前年度预算项目)。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设施建设及时率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续建项目完成终验率；</w:t>
            </w:r>
          </w:p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完成本年度新建技术设施建设项目的招标采购、合同签订、支付首付款等工作。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无线电管理设施建设经费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合同金额略低于预算批复金额，成本控制率低于15%。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&lt;9.14万元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经济效益指标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促进当地经济发展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确保各类合法无线电业务正常开展，维护空中电波秩序，服务经济社会发展。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促进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社会效益指标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提升无线电监测能力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进一步完善全市无线电监测网覆盖水平和监测性能，强化边海地区监测能力，提升应急响应和电磁空间安全管控力量，提高信息系统对无线电监测和相关行政管理工作的支撑效能。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无线电覆盖区域群众满意度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社会公众零投诉；</w:t>
            </w:r>
          </w:p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积极配合公安等相关部门，做好无线电安全保障工作。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widowControl/>
        <w:autoSpaceDE/>
        <w:autoSpaceDN/>
        <w:jc w:val="center"/>
      </w:pPr>
      <w:r>
        <w:rPr>
          <w:rFonts w:ascii="方正仿宋_GBK" w:hAnsi="方正仿宋_GBK" w:eastAsia="方正仿宋_GBK" w:cs="方正仿宋_GBK"/>
          <w:kern w:val="0"/>
          <w:sz w:val="28"/>
          <w:szCs w:val="24"/>
          <w:lang w:eastAsia="uk-UA"/>
        </w:rPr>
        <w:t xml:space="preserve"> </w:t>
      </w:r>
    </w:p>
    <w:p>
      <w:pPr>
        <w:widowControl/>
        <w:autoSpaceDE/>
        <w:autoSpaceDN/>
        <w:ind w:firstLine="560"/>
        <w:outlineLvl w:val="3"/>
      </w:pPr>
      <w:bookmarkStart w:id="8" w:name="_Toc157677467"/>
      <w:r>
        <w:rPr>
          <w:rFonts w:hint="eastAsia" w:ascii="方正仿宋_GBK" w:hAnsi="方正仿宋_GBK" w:eastAsia="方正仿宋_GBK" w:cs="方正仿宋_GBK"/>
          <w:kern w:val="0"/>
          <w:sz w:val="28"/>
          <w:szCs w:val="24"/>
          <w:lang w:val="en-US" w:eastAsia="zh-CN"/>
        </w:rPr>
        <w:t>2</w:t>
      </w:r>
      <w:r>
        <w:rPr>
          <w:rFonts w:ascii="方正仿宋_GBK" w:hAnsi="方正仿宋_GBK" w:eastAsia="方正仿宋_GBK" w:cs="方正仿宋_GBK"/>
          <w:kern w:val="0"/>
          <w:sz w:val="28"/>
          <w:szCs w:val="24"/>
          <w:lang w:eastAsia="uk-UA"/>
        </w:rPr>
        <w:t>.无线电管理专项监管-中央绩效目标表</w:t>
      </w:r>
      <w:bookmarkEnd w:id="8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r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  <w:t>322206天津市无线电监测站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无线电管理专项监管-中央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1.32</w:t>
            </w:r>
          </w:p>
        </w:tc>
        <w:tc>
          <w:tcPr>
            <w:tcW w:w="1587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1.32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无线电管理专项监管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1.目标内容1：开展重大活动无线电保障、无线电干扰查处等专项监管工作</w:t>
            </w:r>
          </w:p>
        </w:tc>
      </w:tr>
    </w:tbl>
    <w:p>
      <w:pPr>
        <w:widowControl/>
        <w:autoSpaceDE/>
        <w:autoSpaceDN/>
        <w:spacing w:line="2" w:lineRule="exact"/>
        <w:jc w:val="center"/>
      </w:pPr>
      <w:r>
        <w:rPr>
          <w:rFonts w:ascii="方正书宋_GBK" w:hAnsi="方正书宋_GBK" w:eastAsia="方正书宋_GBK" w:cs="方正书宋_GBK"/>
          <w:kern w:val="0"/>
          <w:sz w:val="21"/>
          <w:szCs w:val="24"/>
          <w:lang w:eastAsia="uk-UA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开展考试保障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开展考试保障次数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≥3次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民航/铁路干扰查处处理率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民航/铁路干扰查处处理率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保障时长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不低于活动时长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不低于活动时长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无线电专项监管费用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无线电专项监管费用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≤1.32万元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经济效益指标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促进当地经济发展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确保各类合法无线电业务正常开展，维护空中电波秩序，服务经济社会发展。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促进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社会效益指标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改善电磁环境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配合公安加大打击“黑广播”、“伪基站”力度，重点保护民航、军航用频安全，协同京冀两地查处非法干扰。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改善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社会群众满意度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社会公众零投诉；</w:t>
            </w:r>
          </w:p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积极配合公安等相关部门，做好无线电安全保障工作。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widowControl/>
        <w:autoSpaceDE/>
        <w:autoSpaceDN/>
        <w:jc w:val="center"/>
      </w:pPr>
      <w:r>
        <w:rPr>
          <w:rFonts w:ascii="方正仿宋_GBK" w:hAnsi="方正仿宋_GBK" w:eastAsia="方正仿宋_GBK" w:cs="方正仿宋_GBK"/>
          <w:kern w:val="0"/>
          <w:sz w:val="28"/>
          <w:szCs w:val="24"/>
          <w:lang w:eastAsia="uk-UA"/>
        </w:rPr>
        <w:t xml:space="preserve"> </w:t>
      </w:r>
    </w:p>
    <w:p>
      <w:pPr>
        <w:widowControl/>
        <w:autoSpaceDE/>
        <w:autoSpaceDN/>
        <w:ind w:firstLine="560"/>
        <w:outlineLvl w:val="3"/>
      </w:pPr>
      <w:bookmarkStart w:id="9" w:name="_Toc157677468"/>
      <w:r>
        <w:rPr>
          <w:rFonts w:hint="eastAsia" w:ascii="方正仿宋_GBK" w:hAnsi="方正仿宋_GBK" w:eastAsia="方正仿宋_GBK" w:cs="方正仿宋_GBK"/>
          <w:kern w:val="0"/>
          <w:sz w:val="28"/>
          <w:szCs w:val="24"/>
          <w:lang w:val="en-US" w:eastAsia="zh-CN"/>
        </w:rPr>
        <w:t>3</w:t>
      </w:r>
      <w:r>
        <w:rPr>
          <w:rFonts w:ascii="方正仿宋_GBK" w:hAnsi="方正仿宋_GBK" w:eastAsia="方正仿宋_GBK" w:cs="方正仿宋_GBK"/>
          <w:kern w:val="0"/>
          <w:sz w:val="28"/>
          <w:szCs w:val="24"/>
          <w:lang w:eastAsia="uk-UA"/>
        </w:rPr>
        <w:t>.无线电基础设施建设项目-中央绩效目标表</w:t>
      </w:r>
      <w:bookmarkEnd w:id="9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r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  <w:t>322206天津市无线电监测站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无线电基础设施建设项目-中央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1043.00</w:t>
            </w:r>
          </w:p>
        </w:tc>
        <w:tc>
          <w:tcPr>
            <w:tcW w:w="1587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1043.00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天津市固定监测站升级改造项目五期（续建）、天津市四类固定监测站升级改造项目一期（续建）、电磁空间安全管控专项提升工程一期（续建）、天津市无线电管理指挥中心升级改造项目、信息化网络和安全升级改造项目、天津市四类固定监测站升级改造项目（二期）、电磁空间安全管控专项提升工程（二期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.目标内容1:开展天津市固定监测站升级改造项目五期（续建）、天津市四类固定监测站升级改造项目一期（续建）、电磁空间安全管控专项提升工程一期（续建）、天津市无线电管理指挥中心升级改造项目、信息化网络和安全升级改造项目、天津市四类固定监测站升级改造项目（二期）、电磁空间安全管控专项提升工程（二期）</w:t>
            </w:r>
          </w:p>
        </w:tc>
      </w:tr>
    </w:tbl>
    <w:p>
      <w:pPr>
        <w:widowControl/>
        <w:autoSpaceDE/>
        <w:autoSpaceDN/>
        <w:spacing w:line="2" w:lineRule="exact"/>
        <w:jc w:val="center"/>
      </w:pPr>
      <w:r>
        <w:rPr>
          <w:rFonts w:ascii="方正书宋_GBK" w:hAnsi="方正书宋_GBK" w:eastAsia="方正书宋_GBK" w:cs="方正书宋_GBK"/>
          <w:kern w:val="0"/>
          <w:sz w:val="21"/>
          <w:szCs w:val="24"/>
          <w:lang w:eastAsia="uk-UA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建设无线电管理设施数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建设项目7个，具体建设内容包括：天津市固定监测站升级改造项目五期（续建）、天津市四类固定监测站升级改造项目一期（续建）、电磁空间安全管控专项提升工程一期（续建）、天津市无线电管理指挥中心升级改造项目、信息化网络和安全升级改造项目、天津市四类固定监测站升级改造项目（二期）、电磁空间安全管控专项提升工程（二期）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7个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设施验收达标率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建设项目质量达标率100%(仅限组织验收的项目，包括当年的预算项目和以前年度预算项目)。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设施建设及时率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续建项目完成终验率100%；</w:t>
            </w:r>
          </w:p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完成本年度新建技术设施建设项目的招标采购、合同签订、支付首付款等工作。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无线电管理设施建设经费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按照预算执行。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&lt;1043万元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经济效益指标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促进当地经济发展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确保各类合法无线电业务正常开展，维护空中电波秩序，服务经济社会发展。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促进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可持续影响指标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设备使用情况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维护空中电波秩序，服务经济社会发展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满意度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社会公众零投诉；</w:t>
            </w:r>
          </w:p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积极配合公安等相关部门，做好无线电安全保障工作；</w:t>
            </w:r>
          </w:p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完成“黑广播”、“伪基站”设备鉴定工作及其他无线电管理基础性检测工作达到客户满意度100%。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&gt;95%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widowControl/>
        <w:autoSpaceDE/>
        <w:autoSpaceDN/>
        <w:jc w:val="center"/>
      </w:pPr>
      <w:r>
        <w:rPr>
          <w:rFonts w:ascii="方正仿宋_GBK" w:hAnsi="方正仿宋_GBK" w:eastAsia="方正仿宋_GBK" w:cs="方正仿宋_GBK"/>
          <w:kern w:val="0"/>
          <w:sz w:val="28"/>
          <w:szCs w:val="24"/>
          <w:lang w:eastAsia="uk-UA"/>
        </w:rPr>
        <w:t xml:space="preserve"> </w:t>
      </w:r>
    </w:p>
    <w:p>
      <w:pPr>
        <w:widowControl/>
        <w:autoSpaceDE/>
        <w:autoSpaceDN/>
        <w:ind w:firstLine="560"/>
        <w:outlineLvl w:val="3"/>
      </w:pPr>
      <w:bookmarkStart w:id="10" w:name="_Toc157677469"/>
      <w:r>
        <w:rPr>
          <w:rFonts w:hint="eastAsia" w:ascii="方正仿宋_GBK" w:hAnsi="方正仿宋_GBK" w:eastAsia="方正仿宋_GBK" w:cs="方正仿宋_GBK"/>
          <w:kern w:val="0"/>
          <w:sz w:val="28"/>
          <w:szCs w:val="24"/>
          <w:lang w:val="en-US" w:eastAsia="zh-CN"/>
        </w:rPr>
        <w:t>4</w:t>
      </w:r>
      <w:r>
        <w:rPr>
          <w:rFonts w:ascii="方正仿宋_GBK" w:hAnsi="方正仿宋_GBK" w:eastAsia="方正仿宋_GBK" w:cs="方正仿宋_GBK"/>
          <w:kern w:val="0"/>
          <w:sz w:val="28"/>
          <w:szCs w:val="24"/>
          <w:lang w:eastAsia="uk-UA"/>
        </w:rPr>
        <w:t>.无线电技术设施运行维护-中央绩效目标表</w:t>
      </w:r>
      <w:bookmarkEnd w:id="10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r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  <w:t>322206天津市无线电监测站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无线电技术设施运行维护-中央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181.84</w:t>
            </w:r>
          </w:p>
        </w:tc>
        <w:tc>
          <w:tcPr>
            <w:tcW w:w="1587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181.84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无线电技术设施运行维护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1.目标内容1：完成技术设备、无线电专用房屋建筑物和无线电管理特种车辆的运行维护</w:t>
            </w:r>
          </w:p>
        </w:tc>
      </w:tr>
    </w:tbl>
    <w:p>
      <w:pPr>
        <w:widowControl/>
        <w:autoSpaceDE/>
        <w:autoSpaceDN/>
        <w:spacing w:line="2" w:lineRule="exact"/>
        <w:jc w:val="center"/>
      </w:pPr>
      <w:r>
        <w:rPr>
          <w:rFonts w:ascii="方正书宋_GBK" w:hAnsi="方正书宋_GBK" w:eastAsia="方正书宋_GBK" w:cs="方正书宋_GBK"/>
          <w:kern w:val="0"/>
          <w:sz w:val="21"/>
          <w:szCs w:val="24"/>
          <w:lang w:eastAsia="uk-UA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运行维护产出数量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开展业务用房、特种车辆、技术设施定期巡检维护；</w:t>
            </w:r>
          </w:p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开展设备检修和校准。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≥4次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运行维护设备覆盖率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无线电监测设施完好率（使用时限达十年以上的除外）。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运行维护及时率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运行维护及时率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问题响应时间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能在规定时间完成技术设施维修并符合质量要求，按照计划执行巡检任务，发现问题响应时间不超过48小时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≤48小时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无线电管理设施运行维护经费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合同金额略低于预算批复金额，成本控制率低于15%。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≤181.84万元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社会效益指标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提升无线电技术能力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提升无线电技术能力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经济效益指标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无线电监测设施完好率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无线电监测设施完好率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设施维护单位满意度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设施维护单位满意度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widowControl/>
        <w:autoSpaceDE/>
        <w:autoSpaceDN/>
        <w:jc w:val="center"/>
      </w:pPr>
      <w:r>
        <w:rPr>
          <w:rFonts w:ascii="方正仿宋_GBK" w:hAnsi="方正仿宋_GBK" w:eastAsia="方正仿宋_GBK" w:cs="方正仿宋_GBK"/>
          <w:kern w:val="0"/>
          <w:sz w:val="28"/>
          <w:szCs w:val="24"/>
          <w:lang w:eastAsia="uk-UA"/>
        </w:rPr>
        <w:t xml:space="preserve"> </w:t>
      </w:r>
    </w:p>
    <w:p>
      <w:pPr>
        <w:widowControl/>
        <w:autoSpaceDE/>
        <w:autoSpaceDN/>
        <w:ind w:firstLine="560"/>
        <w:outlineLvl w:val="3"/>
      </w:pPr>
      <w:bookmarkStart w:id="11" w:name="_Toc157677470"/>
      <w:r>
        <w:rPr>
          <w:rFonts w:hint="eastAsia" w:ascii="方正仿宋_GBK" w:hAnsi="方正仿宋_GBK" w:eastAsia="方正仿宋_GBK" w:cs="方正仿宋_GBK"/>
          <w:kern w:val="0"/>
          <w:sz w:val="28"/>
          <w:szCs w:val="24"/>
          <w:lang w:val="en-US" w:eastAsia="zh-CN"/>
        </w:rPr>
        <w:t>5</w:t>
      </w:r>
      <w:r>
        <w:rPr>
          <w:rFonts w:ascii="方正仿宋_GBK" w:hAnsi="方正仿宋_GBK" w:eastAsia="方正仿宋_GBK" w:cs="方正仿宋_GBK"/>
          <w:kern w:val="0"/>
          <w:sz w:val="28"/>
          <w:szCs w:val="24"/>
          <w:lang w:eastAsia="uk-UA"/>
        </w:rPr>
        <w:t>.无线电设施运行维护费-中央绩效目标表</w:t>
      </w:r>
      <w:bookmarkEnd w:id="11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r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  <w:t>322206天津市无线电监测站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无线电设施运行维护费-中央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1365.20</w:t>
            </w:r>
          </w:p>
        </w:tc>
        <w:tc>
          <w:tcPr>
            <w:tcW w:w="1587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1365.20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无线电管理设施运行维护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1.目标内容1:完成本年度技术设备、无线电专用房屋建筑物和无线电管理特种车辆的运行维护</w:t>
            </w:r>
          </w:p>
        </w:tc>
      </w:tr>
    </w:tbl>
    <w:p>
      <w:pPr>
        <w:widowControl/>
        <w:autoSpaceDE/>
        <w:autoSpaceDN/>
        <w:spacing w:line="2" w:lineRule="exact"/>
        <w:jc w:val="center"/>
      </w:pPr>
      <w:r>
        <w:rPr>
          <w:rFonts w:ascii="方正书宋_GBK" w:hAnsi="方正书宋_GBK" w:eastAsia="方正书宋_GBK" w:cs="方正书宋_GBK"/>
          <w:kern w:val="0"/>
          <w:sz w:val="21"/>
          <w:szCs w:val="24"/>
          <w:lang w:eastAsia="uk-UA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检测设备、设施定期维护每季度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开展检测设备、设施定期维护每季度次数；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检测设备校准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开展检测设备校准每年1次数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无线电监测设施完好率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无线电监测设施完好率80%（使用时限达十年以上的除外）。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问题响应时间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能在规定时间完成技术设施维修并符合质量要求，按照计划执行巡检任务，发现问题响应时间不超过48小时。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≤48小时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无线电管理设施运行维护经费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按照预算执行。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≤1365.2万元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可持续影响指标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提升无线电技术能力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提升无线电技术能力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可持续影响指标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无线电监测设施完好率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无线电监测设施完好率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  <w:widowControl/>
              <w:autoSpaceDE/>
              <w:autoSpaceDN/>
            </w:pPr>
            <w:r>
              <w:rPr>
                <w:kern w:val="0"/>
                <w:szCs w:val="24"/>
                <w:lang w:eastAsia="uk-UA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满意度</w:t>
            </w:r>
          </w:p>
        </w:tc>
        <w:tc>
          <w:tcPr>
            <w:tcW w:w="3430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社会公众零投诉；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widowControl/>
        <w:autoSpaceDE/>
        <w:autoSpaceDN/>
        <w:jc w:val="center"/>
      </w:pPr>
      <w:r>
        <w:rPr>
          <w:rFonts w:ascii="方正仿宋_GBK" w:hAnsi="方正仿宋_GBK" w:eastAsia="方正仿宋_GBK" w:cs="方正仿宋_GBK"/>
          <w:kern w:val="0"/>
          <w:sz w:val="28"/>
          <w:szCs w:val="24"/>
          <w:lang w:eastAsia="uk-U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outlineLvl w:val="3"/>
      </w:pPr>
      <w:bookmarkStart w:id="12" w:name="_Toc157677471"/>
      <w:r>
        <w:rPr>
          <w:rFonts w:hint="eastAsia" w:ascii="方正仿宋_GBK" w:hAnsi="方正仿宋_GBK" w:eastAsia="方正仿宋_GBK" w:cs="方正仿宋_GBK"/>
          <w:kern w:val="0"/>
          <w:sz w:val="28"/>
          <w:szCs w:val="24"/>
          <w:lang w:val="en-US" w:eastAsia="zh-CN"/>
        </w:rPr>
        <w:t>6</w:t>
      </w:r>
      <w:bookmarkStart w:id="13" w:name="_GoBack"/>
      <w:bookmarkEnd w:id="13"/>
      <w:r>
        <w:rPr>
          <w:rFonts w:ascii="方正仿宋_GBK" w:hAnsi="方正仿宋_GBK" w:eastAsia="方正仿宋_GBK" w:cs="方正仿宋_GBK"/>
          <w:kern w:val="0"/>
          <w:sz w:val="28"/>
          <w:szCs w:val="24"/>
          <w:lang w:eastAsia="uk-UA"/>
        </w:rPr>
        <w:t>.无线电专项监管-中央绩效目标表</w:t>
      </w:r>
      <w:bookmarkEnd w:id="12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  <w:t>322206天津市无线电监测站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kern w:val="0"/>
                <w:szCs w:val="24"/>
                <w:lang w:eastAsia="uk-UA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kern w:val="0"/>
                <w:szCs w:val="24"/>
                <w:lang w:eastAsia="uk-UA"/>
              </w:rP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无线电专项监管-中央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kern w:val="0"/>
                <w:szCs w:val="24"/>
                <w:lang w:eastAsia="uk-UA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kern w:val="0"/>
                <w:szCs w:val="24"/>
                <w:lang w:eastAsia="uk-UA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89.00</w:t>
            </w:r>
          </w:p>
        </w:tc>
        <w:tc>
          <w:tcPr>
            <w:tcW w:w="1587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kern w:val="0"/>
                <w:szCs w:val="24"/>
                <w:lang w:eastAsia="uk-UA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89.00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kern w:val="0"/>
                <w:szCs w:val="24"/>
                <w:lang w:eastAsia="uk-UA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85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无线电专项监管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kern w:val="0"/>
                <w:szCs w:val="24"/>
                <w:lang w:eastAsia="uk-UA"/>
              </w:rP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1.完成无线电专项监管有关工作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</w:pPr>
      <w:r>
        <w:rPr>
          <w:rFonts w:ascii="方正书宋_GBK" w:hAnsi="方正书宋_GBK" w:eastAsia="方正书宋_GBK" w:cs="方正书宋_GBK"/>
          <w:kern w:val="0"/>
          <w:sz w:val="21"/>
          <w:szCs w:val="24"/>
          <w:lang w:eastAsia="uk-UA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kern w:val="0"/>
                <w:szCs w:val="24"/>
                <w:lang w:eastAsia="uk-UA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kern w:val="0"/>
                <w:szCs w:val="24"/>
                <w:lang w:eastAsia="uk-UA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kern w:val="0"/>
                <w:szCs w:val="24"/>
                <w:lang w:eastAsia="uk-UA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kern w:val="0"/>
                <w:szCs w:val="24"/>
                <w:lang w:eastAsia="uk-UA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kern w:val="0"/>
                <w:szCs w:val="24"/>
                <w:lang w:eastAsia="uk-UA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kern w:val="0"/>
                <w:szCs w:val="24"/>
                <w:lang w:eastAsia="uk-UA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开展无线电重大活动保障不少于1次；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开展重点活动保障次数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累计监测时长不少于15万站小时；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累计监测时长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≥15万站小时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开展考试保障不少于20次；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开展考试保障次数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≥20次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开展无线电监测和干扰查处不少于60次；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开展无线电监测和干扰查处次数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≥60次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开展监测技术演练1次；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开展监测技术演练次数；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开展培训及辅导4次；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开展培训及辅导次数；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4次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开展课题研究1个。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开展课题研究次数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开展无线电发射设备检测不少于40次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开展开展无线电发射设备检测次数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≥40次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重大活动非法信号处理率100%；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重大活动非法信号处理率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民航/铁路干扰查处处理率100%；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民航/铁路干扰查处处理率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100%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干扰申诉处理率100%。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干扰申诉处理率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100%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 xml:space="preserve"> 公益性检测任务委托方处理率100%。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公益性检测任务委托方处理率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重大活动保障时长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不低于活动时长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不低于活动时长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全年开展考试保障不少于20次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开展考试保障次数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≥20次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无线电专项监管费用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按照预算执行。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≤89万元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kern w:val="0"/>
                <w:szCs w:val="24"/>
                <w:lang w:eastAsia="uk-UA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促进当地经济发展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保障和协调全市无线电业务间频率使用，行政许可事项按时办结率100%，确保各类合法无线电业务正常开展，维护空中电波秩序，服务经济社会发展；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促进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人才队伍建设情况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加强政治理论学习，积极参加国家组织的各类培训；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组织全市进行无线电管理法规、监测、检测技术及管理体系标准培训；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组织全市重大活动保障和应急干扰查处技术演练不少于1次；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人均参加政治、法规、业务学习不少于50学时。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积极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资金使用整改情况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在资金使用监督检查（审计、绩效评价、专项检查）发现的问题能够整改落实。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落实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kern w:val="0"/>
                <w:szCs w:val="24"/>
                <w:lang w:eastAsia="uk-UA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社会群众满意度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社会公众零投诉；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积极配合公安等相关部门，做好无线电安全保障工作。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≥95%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textAlignment w:val="auto"/>
        <w:rPr>
          <w:rFonts w:hint="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abic Typesetting">
    <w:altName w:val="Segoe Print"/>
    <w:panose1 w:val="00000000000000000000"/>
    <w:charset w:val="00"/>
    <w:family w:val="script"/>
    <w:pitch w:val="default"/>
    <w:sig w:usb0="00000000" w:usb1="00000000" w:usb2="00000008" w:usb3="00000000" w:csb0="000000D3" w:csb1="00000000"/>
  </w:font>
  <w:font w:name="方正书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B"/>
    <w:rsid w:val="00003B47"/>
    <w:rsid w:val="00022EE5"/>
    <w:rsid w:val="00131932"/>
    <w:rsid w:val="001C2CE6"/>
    <w:rsid w:val="002E4AB5"/>
    <w:rsid w:val="00394B2B"/>
    <w:rsid w:val="004C3A2B"/>
    <w:rsid w:val="00555844"/>
    <w:rsid w:val="005D392D"/>
    <w:rsid w:val="006D53FA"/>
    <w:rsid w:val="00744628"/>
    <w:rsid w:val="008A2AC9"/>
    <w:rsid w:val="00AE0BDF"/>
    <w:rsid w:val="00C23EBB"/>
    <w:rsid w:val="00C62643"/>
    <w:rsid w:val="00D71544"/>
    <w:rsid w:val="00DC6856"/>
    <w:rsid w:val="00EA5970"/>
    <w:rsid w:val="00F911BB"/>
    <w:rsid w:val="00FE0BDB"/>
    <w:rsid w:val="2D9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 Unicode MS" w:hAnsi="Arial Unicode MS" w:eastAsia="Arial Unicode MS" w:cs="Arial Unicode MS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qFormat/>
    <w:uiPriority w:val="1"/>
    <w:rPr>
      <w:sz w:val="28"/>
      <w:szCs w:val="2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link w:val="18"/>
    <w:qFormat/>
    <w:uiPriority w:val="10"/>
    <w:pPr>
      <w:spacing w:before="45"/>
      <w:ind w:left="2249" w:right="2250"/>
      <w:jc w:val="center"/>
    </w:pPr>
    <w:rPr>
      <w:rFonts w:ascii="宋体" w:hAnsi="宋体" w:eastAsia="宋体" w:cs="宋体"/>
      <w:sz w:val="56"/>
      <w:szCs w:val="56"/>
    </w:rPr>
  </w:style>
  <w:style w:type="character" w:customStyle="1" w:styleId="10">
    <w:name w:val="页眉 字符"/>
    <w:basedOn w:val="8"/>
    <w:link w:val="6"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uiPriority w:val="99"/>
    <w:rPr>
      <w:sz w:val="18"/>
      <w:szCs w:val="18"/>
    </w:rPr>
  </w:style>
  <w:style w:type="character" w:customStyle="1" w:styleId="12">
    <w:name w:val="正文文本 字符"/>
    <w:basedOn w:val="8"/>
    <w:link w:val="4"/>
    <w:uiPriority w:val="1"/>
    <w:rPr>
      <w:rFonts w:ascii="Arial Unicode MS" w:hAnsi="Arial Unicode MS" w:eastAsia="Arial Unicode MS" w:cs="Arial Unicode MS"/>
      <w:kern w:val="0"/>
      <w:sz w:val="28"/>
      <w:szCs w:val="28"/>
    </w:rPr>
  </w:style>
  <w:style w:type="table" w:customStyle="1" w:styleId="13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Paragraph"/>
    <w:basedOn w:val="1"/>
    <w:qFormat/>
    <w:uiPriority w:val="1"/>
    <w:pPr>
      <w:ind w:left="108"/>
    </w:pPr>
  </w:style>
  <w:style w:type="paragraph" w:styleId="15">
    <w:name w:val="No Spacing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kern w:val="0"/>
      <w:sz w:val="22"/>
      <w:szCs w:val="22"/>
      <w:lang w:val="en-US" w:eastAsia="zh-CN" w:bidi="ar-SA"/>
    </w:rPr>
  </w:style>
  <w:style w:type="character" w:customStyle="1" w:styleId="16">
    <w:name w:val="标题 1 字符"/>
    <w:basedOn w:val="8"/>
    <w:link w:val="2"/>
    <w:qFormat/>
    <w:uiPriority w:val="9"/>
    <w:rPr>
      <w:rFonts w:ascii="Arial Unicode MS" w:hAnsi="Arial Unicode MS" w:eastAsia="Arial Unicode MS" w:cs="Arial Unicode MS"/>
      <w:b/>
      <w:bCs/>
      <w:kern w:val="44"/>
      <w:sz w:val="44"/>
      <w:szCs w:val="44"/>
    </w:rPr>
  </w:style>
  <w:style w:type="character" w:customStyle="1" w:styleId="17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18">
    <w:name w:val="标题 字符"/>
    <w:basedOn w:val="8"/>
    <w:link w:val="7"/>
    <w:qFormat/>
    <w:uiPriority w:val="10"/>
    <w:rPr>
      <w:rFonts w:ascii="宋体" w:hAnsi="宋体" w:eastAsia="宋体" w:cs="宋体"/>
      <w:kern w:val="0"/>
      <w:sz w:val="56"/>
      <w:szCs w:val="56"/>
    </w:rPr>
  </w:style>
  <w:style w:type="paragraph" w:styleId="19">
    <w:name w:val="List Paragraph"/>
    <w:basedOn w:val="1"/>
    <w:qFormat/>
    <w:uiPriority w:val="1"/>
    <w:pPr>
      <w:ind w:left="1460" w:hanging="338"/>
    </w:pPr>
  </w:style>
  <w:style w:type="paragraph" w:customStyle="1" w:styleId="20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21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22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23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24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62BDA0-EE52-46E8-9BF8-470D0B55A1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821</Words>
  <Characters>4682</Characters>
  <Lines>39</Lines>
  <Paragraphs>10</Paragraphs>
  <TotalTime>1</TotalTime>
  <ScaleCrop>false</ScaleCrop>
  <LinksUpToDate>false</LinksUpToDate>
  <CharactersWithSpaces>5493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2024-03-12T00:48:00Z</dcterms:created>
  <dc:creator>SU</dc:creator>
  <cp:lastModifiedBy>天津市工业和信息化局</cp:lastModifiedBy>
  <dcterms:modified xsi:type="dcterms:W3CDTF">2024-03-12T05:55:10Z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