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ind w:firstLine="560"/>
        <w:outlineLvl w:val="3"/>
      </w:pPr>
      <w:bookmarkStart w:id="0" w:name="_GoBack"/>
      <w:bookmarkEnd w:id="0"/>
      <w:r>
        <w:rPr>
          <w:rFonts w:ascii="方正仿宋_GBK" w:hAnsi="方正仿宋_GBK" w:eastAsia="方正仿宋_GBK" w:cs="方正仿宋_GBK"/>
          <w:sz w:val="28"/>
        </w:rPr>
        <w:t>计算机技术与软件专业技术资格（水平）考试费绩效目标表</w:t>
      </w:r>
    </w:p>
    <w:tbl>
      <w:tblPr>
        <w:tblStyle w:val="3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322701天津市工业和信息化研究院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计算机技术与软件专业技术资格（水平）考试费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190.00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190.00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计算机技术与软件专业技术资格（水平）考试费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t>1. 1、科学、公正地对全国计算机与软件专业技术人员进行职业资格、专业技术资格认定和专业技术水平测试；</w:t>
            </w:r>
          </w:p>
          <w:p>
            <w:pPr>
              <w:pStyle w:val="7"/>
            </w:pPr>
            <w:r>
              <w:t>2、推动我国信息产业特别是软件产业的发展和提高各类IT人才的素质的筛选。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3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考生人数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考生人数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上机考试顺利完成率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上机考试顺利完成率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考试完成时间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考试完成时间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2024年底前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项目资金使用金额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 项目资金使用金额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≤190万元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考试公平公正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考试公平公正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通过精心组织，使用专业设备，确保公平公正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考生满意度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 考生满意度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≥95百分比</w:t>
            </w:r>
          </w:p>
        </w:tc>
      </w:tr>
    </w:tbl>
    <w:p/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577AC"/>
    <w:rsid w:val="25A5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2024-03-11T08:17:00Z</dcterms:created>
  <dc:creator>天津市工业和信息化局</dc:creator>
  <cp:lastModifiedBy>天津市工业和信息化局</cp:lastModifiedBy>
  <dcterms:modified xsi:type="dcterms:W3CDTF">2024-03-11T08:18:16Z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