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outlineLvl w:val="3"/>
        <w:rPr>
          <w:rFonts w:ascii="方正仿宋_GBK" w:hAnsi="方正仿宋_GBK" w:eastAsia="方正仿宋_GBK" w:cs="方正仿宋_GBK"/>
          <w:color w:val="000000"/>
          <w:sz w:val="28"/>
        </w:rPr>
      </w:pPr>
      <w:bookmarkStart w:id="0" w:name="_Toc_4_4_0000000019"/>
      <w:r>
        <w:rPr>
          <w:rFonts w:ascii="方正仿宋_GBK" w:hAnsi="方正仿宋_GBK" w:eastAsia="方正仿宋_GBK" w:cs="方正仿宋_GBK"/>
          <w:color w:val="000000"/>
          <w:sz w:val="28"/>
        </w:rPr>
        <w:t>办公用房物业管理费绩效目标表</w:t>
      </w:r>
      <w:bookmarkEnd w:id="0"/>
    </w:p>
    <w:p>
      <w:pPr>
        <w:outlineLvl w:val="3"/>
        <w:rPr>
          <w:rFonts w:ascii="方正仿宋_GBK" w:hAnsi="方正仿宋_GBK" w:eastAsia="方正仿宋_GBK" w:cs="方正仿宋_GBK"/>
          <w:color w:val="000000"/>
          <w:sz w:val="28"/>
        </w:rPr>
      </w:pPr>
    </w:p>
    <w:tbl>
      <w:tblPr>
        <w:tblStyle w:val="2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322201天津市工业和信息化稽查总队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7"/>
            </w:pPr>
            <w:r>
              <w:t>办公用房物业管理费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44.00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44.00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7"/>
            </w:pPr>
            <w:r>
              <w:t>稽查总队2022年物业管理费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7"/>
            </w:pPr>
            <w:r>
              <w:t>1.为保证稽查总队办公运行，总队承租房租的租赁面积为2444.7平方米，物业管理费为15元/月/平方米，每月物业管理费用为36670.5元，2022年物业管理费为440046元。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资金使用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44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办公用房面积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2444.7平方米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日常办公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保障办公运行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保障办公运行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1-12月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2022年1-12月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可持续影响指标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办公用房保障水平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持续提高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及时支付费用，保证满意度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及时支付费用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2022年底前支付费用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  <w:rPr>
          <w:rFonts w:ascii="方正仿宋_GBK" w:hAnsi="方正仿宋_GBK" w:eastAsia="方正仿宋_GBK" w:cs="方正仿宋_GBK"/>
          <w:color w:val="000000"/>
          <w:sz w:val="28"/>
        </w:rPr>
      </w:pPr>
      <w:bookmarkStart w:id="1" w:name="_Toc_4_4_0000000020"/>
      <w:r>
        <w:rPr>
          <w:rFonts w:ascii="方正仿宋_GBK" w:hAnsi="方正仿宋_GBK" w:eastAsia="方正仿宋_GBK" w:cs="方正仿宋_GBK"/>
          <w:color w:val="000000"/>
          <w:sz w:val="28"/>
        </w:rPr>
        <w:t>稽查执法专项经费绩效目标表</w:t>
      </w:r>
      <w:bookmarkEnd w:id="1"/>
    </w:p>
    <w:p>
      <w:pPr>
        <w:ind w:firstLine="560"/>
        <w:outlineLvl w:val="3"/>
        <w:rPr>
          <w:rFonts w:ascii="方正仿宋_GBK" w:hAnsi="方正仿宋_GBK" w:eastAsia="方正仿宋_GBK" w:cs="方正仿宋_GBK"/>
          <w:color w:val="000000"/>
          <w:sz w:val="28"/>
        </w:rPr>
      </w:pPr>
    </w:p>
    <w:tbl>
      <w:tblPr>
        <w:tblStyle w:val="2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322201天津市工业和信息化稽查总队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7"/>
            </w:pPr>
            <w:r>
              <w:t>稽查执法专项经费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30.00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7"/>
            </w:pPr>
            <w:r>
              <w:t>稽查执法专项经费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7"/>
            </w:pPr>
            <w:r>
              <w:t>1.保证工业领域执法工作正常开展，提高执法工作效率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工业和信息化稽查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30万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稽查执法专项经费30万元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执法检查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执法检查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检查企业450家，宣传9次，培训5次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履职率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行政执法职权履行覆盖率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履职率100%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保障各领域行政执法工作职责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执法检查完成及时率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保障工业领域执法工作正常开展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履行行政执法职权，保证履职率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保证履职率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及时支付各项费用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保障行政执法工作职权的顺利履行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顺利履职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  <w:bookmarkStart w:id="2" w:name="_GoBack"/>
      <w:bookmarkEnd w:id="2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Arial Unicode MS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21D11"/>
    <w:rsid w:val="4B67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5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6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7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8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626</Words>
  <Characters>714</Characters>
  <Lines>0</Lines>
  <Paragraphs>0</Paragraphs>
  <TotalTime>2</TotalTime>
  <ScaleCrop>false</ScaleCrop>
  <LinksUpToDate>false</LinksUpToDate>
  <CharactersWithSpaces>728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Administrator</cp:lastModifiedBy>
  <dcterms:modified xsi:type="dcterms:W3CDTF">2022-03-29T02:40:09Z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C3B3488E8C3C47448E6A83F3EB9D4AF4</vt:lpwstr>
  </property>
</Properties>
</file>