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hint="eastAsia"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电力需求侧管理专项资金绩效目标表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房租、物业等运行保障经费及专项工作经费绩效目标表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3.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购买保密设备等绩效目标表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4.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节能减排补助资金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5.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世界智能大会专项工作经费绩效目标表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6.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市级物资储备库租金及委托管理费绩效目标表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7.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无线电管理技术设施运维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8.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无线电管理专项监管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9.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无线电基础设施建设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10.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疫情防控医用防护物资生产企业贷款贴息绩效目标表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11.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智能制造专项资金绩效目标表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12.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智能制造专项资金（特殊时期电力需求响应）绩效目标表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中小企业发展专项资金绩效目标表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4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办公用房物业管理费绩效目标表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ab/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5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稽查执法专项经费绩效目标表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6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办公用房租赁费绩效目标表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7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无线电管理技术设施运维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18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无线电管理专项监管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ab/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19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无线电基础设施建设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-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中央绩效目标表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ab/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lang w:val="en-US" w:eastAsia="zh-CN"/>
        </w:rPr>
        <w:t>0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天津市中小企业专精特新、种子企业梯度培育绩效目标表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1.电力需求侧管理专项资金绩效目标表</w:t>
      </w:r>
      <w:bookmarkEnd w:id="0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电力需求侧管理专项资金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视电力供需情况启动电力需求响应，通过资金补贴电力用户，减少用电高峰期用电，增加用电低谷期用电，实现移填谷效果，促进电力供需平衡。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1.加强电力需求侧管理，支持电力需求响应，视电力供需情况启动电力需求响应，通过资金补贴电力用户，减少用电高峰期用电，增加用电低谷期用电，实现移填谷效果，促进电力供需平衡。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开展需求响应次数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组织开展需求响应次数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完成申报电力需求侧响应容量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完成申报电力需求侧响应容量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≥50万千瓦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财政资金拨付合规性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合规拨付资金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资金拨付或使用时间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资金拨付或使用时间等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补贴标准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春节期间≤2.0元/千瓦时，夏季≤30元/千瓦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促进电力平衡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促进电力平衡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参与响应主体满意度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参与响应主体满意度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2.房租、物业等运行保障经费及专项工作经费绩效目标表</w:t>
      </w:r>
      <w:bookmarkEnd w:id="1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房租、物业等运行保障经费及专项工作经费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1546.90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1546.90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房租、物业等运行保障经费及专项工作经费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1.保障机关运转及各项工作顺利开展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大于5个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大于90%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项目支出总额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项目支出总额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不超过预算拨款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经济效益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经济效益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相关行业满意度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相关行业满意度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3.购买保密设备等绩效目标表</w:t>
      </w:r>
      <w:bookmarkEnd w:id="2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购买保密设备等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购买安全保密设备等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1.用于购置涉密计算机、涉密复印机等涉密信息设备及部分安全保密设施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购买数量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购买数量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合格率95%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不超过预算数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设备使用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设备使用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符合保密要求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使用满意度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使用满意度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4.节能减排补助资金-中央绩效目标表</w:t>
      </w:r>
      <w:bookmarkEnd w:id="3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节能减排补助资金-中央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10145.00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10145.00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拨付新能源汽车推广应用补贴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1.支持符合要求的新能源汽车产品推广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有运营里程要求车辆满足要求比例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有运营里程要求车辆满足要求比例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车辆纳入新能源汽车国家监管平台比例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车辆纳入新能源汽车国家监管平台比例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企业申报材料技术参数与新能源汽车推广应用车型目录参数一致性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企业申报材料技术参数与新能源汽车推广应用车型目录参数一致性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按期完工率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按期完工率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产业低碳化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产业低碳化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资源节约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资源节约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节能减排效果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节能减排效果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受益企业、群众满意度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受益企业、群众满意度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10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.世界智能大会专项工作经费绩效目标表</w:t>
      </w:r>
      <w:bookmarkEnd w:id="4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世界智能大会专项工作经费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世界智能大会组委会工作经费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1.通过举办“会、展、赛”，拉动智能科技产业增长</w:t>
            </w:r>
          </w:p>
          <w:p>
            <w:pPr>
              <w:pStyle w:val="15"/>
            </w:pPr>
            <w:r>
              <w:t>2.搭建合作交流平台，以会兴业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举办平行论坛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举办平行论坛数量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举办赛事活动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举办赛事活动数量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智能大会如期召开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智能大会召开时间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智能科技产业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智能科技产业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我市智能产业形象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我市智能科技产业形象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1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.市级物资储备库租金及委托管理费绩效目标表</w:t>
      </w:r>
      <w:bookmarkEnd w:id="5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市级物资储备库租金及委托管理费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125.25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125.25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市级物资储备库租金及委托管理费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1.市级物资储备库正常运行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租用仓库面积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租用仓库面积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≥2900平方米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财政资金到位率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财政资金到位率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工作任务按时完成率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工作任务按时完成率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≤166.65万元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储备库运行情况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储备库运行情况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使用方满意度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使用方满意度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1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.无线电管理技术设施运维-中央绩效目标表</w:t>
      </w:r>
      <w:bookmarkEnd w:id="6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无线电管理技术设施运维-中央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11.20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11.20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"及时处理线路故障，加强系统技术设备运维管理，保障无线电执法管理系统的正常运行。严格执行车辆日常规范检查、按时进行保养；以及对车辆装载的设备进行规范巡检，保障无线电管理特种车辆的正常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项目资金不超过预算值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项目资金不超过预算值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"</w:t>
            </w:r>
          </w:p>
          <w:p>
            <w:pPr>
              <w:pStyle w:val="15"/>
            </w:pPr>
            <w:r>
              <w:t>系统巡检次数</w:t>
            </w:r>
          </w:p>
          <w:p>
            <w:pPr>
              <w:pStyle w:val="15"/>
            </w:pPr>
            <w:r>
              <w:t>"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2022年预计进行全车巡检次数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响应故障跟进时效性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响应故障跟进时效性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成功协调或解决系统故障率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成功协调或解决系统故障率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提高无线电行政执法效率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通过行政执法系统回传执法记录等手段，提高无线电行政执法效率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1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.无线电管理专项监管-中央绩效目标表</w:t>
      </w:r>
      <w:bookmarkEnd w:id="7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无线电管理专项监管-中央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专项监管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1.加大打击“黑广播”“伪基站”工作力度，加强无线电考试安全保障，切实维护好无线电频率秩序。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做好重大活动无线电安全保障和考试保障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做好重大活动无线电安全保障和考试保障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&lt;20次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干扰投诉处理率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干扰投诉处理率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使用专项资金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使用专项资金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及时响应“黑广播”投诉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及时响应“黑广播”投诉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“黑广播”设备拆除率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“黑广播”设备拆除率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"绩效管理公众评议</w:t>
            </w:r>
          </w:p>
          <w:p>
            <w:pPr>
              <w:pStyle w:val="15"/>
            </w:pPr>
            <w:r>
              <w:t>满意度"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"绩效管理公众评议</w:t>
            </w:r>
          </w:p>
          <w:p>
            <w:pPr>
              <w:pStyle w:val="15"/>
            </w:pPr>
            <w:r>
              <w:t>满意度"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1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.无线电基础设施建设-中央绩效目标表</w:t>
      </w:r>
      <w:bookmarkEnd w:id="8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无线电基础设施建设-中央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1."无线电频率台站管理系统适应性改造及无线电频率台站数据库升级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建设频率台站系统升级改造项目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"1、无线电频率台站管理系统适应性改造：1套</w:t>
            </w:r>
          </w:p>
          <w:p>
            <w:pPr>
              <w:pStyle w:val="15"/>
            </w:pPr>
            <w:r>
              <w:t>2、无线电频率台站数据库升级：1套</w:t>
            </w:r>
          </w:p>
          <w:p>
            <w:pPr>
              <w:pStyle w:val="15"/>
            </w:pPr>
            <w:r>
              <w:t>3、无线电频率台站在线填报辅助工具 ：1套</w:t>
            </w:r>
          </w:p>
          <w:p>
            <w:pPr>
              <w:pStyle w:val="15"/>
            </w:pPr>
            <w:r>
              <w:t>4、行政许可受理与数据管理一体化整合：1套"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政府采购率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项目建成时间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"项目建成完成验收时间：2022年四季度（按2022年6月完成招标）</w:t>
            </w:r>
          </w:p>
          <w:p>
            <w:pPr>
              <w:pStyle w:val="15"/>
            </w:pPr>
            <w:r>
              <w:t>生产调试周期：3.5个月</w:t>
            </w:r>
          </w:p>
          <w:p>
            <w:pPr>
              <w:pStyle w:val="15"/>
            </w:pPr>
            <w:r>
              <w:t>安装调试周期：0.5个月</w:t>
            </w:r>
          </w:p>
          <w:p>
            <w:pPr>
              <w:pStyle w:val="15"/>
            </w:pPr>
            <w:r>
              <w:t>试运行周期：1个月"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项目投入成本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"项目投资金额总计67万</w:t>
            </w:r>
          </w:p>
          <w:p>
            <w:pPr>
              <w:pStyle w:val="15"/>
            </w:pPr>
            <w:r>
              <w:t>1 无线电频率台站管理系统适应性改造 26万</w:t>
            </w:r>
          </w:p>
          <w:p>
            <w:pPr>
              <w:pStyle w:val="15"/>
            </w:pPr>
            <w:r>
              <w:t>2 无线电频率台站数据库升级 12万</w:t>
            </w:r>
          </w:p>
          <w:p>
            <w:pPr>
              <w:pStyle w:val="15"/>
            </w:pPr>
            <w:r>
              <w:t>3 无线电频率台站在线填报辅助工具 20万</w:t>
            </w:r>
          </w:p>
          <w:p>
            <w:pPr>
              <w:pStyle w:val="15"/>
            </w:pPr>
            <w:r>
              <w:t>4 行政许可受理与数据管理一体化整合  9万"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升级现有无线电频率台站管理系统，节省项目资金投入，提升已建系统的利用率。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有效节约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促进政府职能转变，实现政府运行机制创新和管理方式创新，提升无线电行政许可的信息化水平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有效促进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系统的建设将为进一步落实国家“放管服”改革要求，减轻行政相对人负担提供符合国家规范标准的技术支撑手段，对外有助于拓宽服务渠道、提升服务质量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对设台单位：行政许可满意度&gt;95%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000000"/>
          <w:sz w:val="28"/>
        </w:rPr>
        <w:t>.疫情防控医用防护物资生产企业贷款贴息绩效目标表</w:t>
      </w:r>
      <w:bookmarkEnd w:id="9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疫情防控医用防护物资生产企业贷款贴息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458.05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458.05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拨付防护物资生产企业贷款贴息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1.加强我市相关企业重点医用物资生产能力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资金拨付合规性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资金拨付合规性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重点医用物资生产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重点医用物资生产保障能力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.智能制造专项资金绩效目标表</w:t>
      </w:r>
      <w:bookmarkEnd w:id="10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智能制造专项资金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用于购买2022年智能制造专项资金项目评审、验收和绩效评价等服务。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把握智能制造主攻方向，发挥政策的杠杆带动作用，促进重点领域的智能转型，加快培育集成电路、智能机器人、大数据等为代表的战略性新兴产业，打造一批智能工厂和数字车间，提升两化融合水平，夯实智能制造技术创新底盘，以产业促应用，以应用带产业</w:t>
            </w:r>
          </w:p>
          <w:p>
            <w:pPr>
              <w:pStyle w:val="15"/>
            </w:pPr>
            <w:r>
              <w:t>2.推动“天津制造”向“天津智造”转变。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支持项目数量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项目评审认定率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受理项目评审认定覆盖率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使用智能制造专项资金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项目评审科学性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项目评审科学性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.智能制造专项资金（特殊时期电力需求响应）绩效目标表</w:t>
      </w:r>
      <w:bookmarkEnd w:id="11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智能制造专项资金（特殊时期电力需求响应）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支持特殊时期电力需求响应，通过资金补贴电力用户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1.支持特殊时期电力需求响应，通过资金补贴电力用户，减少供电紧张时期用电，促进电力供需平衡。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开展需求响应次数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组织开展需求响应次数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财政资金拨付合规性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合规拨付资金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资金拨付或使用时间等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补贴标准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每千瓦响应补贴标准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≤2元/千瓦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电力供应保障能力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应对电力缺口的能力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参与对象满意度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参与对象满意度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.中小企业发展专项资金绩效目标表</w:t>
      </w:r>
      <w:bookmarkEnd w:id="12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322101天津市工业和信息化局财金处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中小企业发展专项资金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102.75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102.75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组织第六届创客中国中小企业创新创业天津区域赛、组织参加第十一届APEC中小企业技术博览会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1.组织第六届创客中国中小企业创新创业天津区域赛</w:t>
            </w:r>
          </w:p>
          <w:p>
            <w:pPr>
              <w:pStyle w:val="15"/>
            </w:pPr>
            <w:r>
              <w:t>2.组织参加第十一届APEC中小企业技术博览会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组织项目数量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组织企业参加创客中国中小企业创新创业大赛、组织参加第十一届APEC中小企业技术博览会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资金拨付或使用时间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资金拨付或使用时间等</w:t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参会、参赛完成率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按工信部通知要求完成工作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项目补贴标准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项目补贴标准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按照相关要求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全市规模以上中小企业实现产值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全市规模以上中小企业实现产值</w:t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推动双创、搭建企业展示平台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通过大赛展会、加大企业宣传力度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激发企业创新创业活力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提高大赛、展会企业的参与度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正向发展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项目单位等服务对象满意度</w:t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项目单位等服务对象满意度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.办公用房物业管理费绩效目标表</w:t>
      </w:r>
      <w:bookmarkEnd w:id="13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322201天津市工业和信息化稽查总队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办公用房物业管理费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稽查总队2022年物业管理费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1.为保证稽查总队办公运行，总队承租房租的租赁面积为2444.7平方米，物业管理费为15元/月/平方米，每月物业管理费用为36670.5元，2022年物业管理费为440046元。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资金使用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44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2444.7平方米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日常办公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保障办公运行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保障办公运行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1-12月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办公用房保障水平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及时支付费用，保证满意度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及时支付费用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2022年底前支付费用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.稽查执法专项经费绩效目标表</w:t>
      </w:r>
      <w:bookmarkEnd w:id="14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322201天津市工业和信息化稽查总队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稽查执法专项经费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稽查执法专项经费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1.保证工业领域执法工作正常开展，提高执法工作效率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工业和信息化稽查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30万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稽查执法专项经费30万元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执法检查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执法检查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检查企业450家，宣传9次，培训5次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履职率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行政执法职权履行覆盖率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履职率100%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保障各领域行政执法工作职责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执法检查完成及时率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保障工业领域执法工作正常开展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履行行政执法职权，保证履职率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保证履职率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及时支付各项费用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保障行政执法工作职权的顺利履行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顺利履职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.办公用房租赁费绩效目标表</w:t>
      </w:r>
      <w:bookmarkEnd w:id="15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322202天津市化工建筑安装工程质量监督站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办公用房租赁费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28.50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28.50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办公用房租赁费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1.满足正常的办公条件租用办公场所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房屋租赁面积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租赁面积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206平方米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满足办公条件配套达标率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办公条件配套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租金使用周期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租金使用周期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房屋租赁费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租赁费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28.5万元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改善办公条件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办公条件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.无线电管理技术设施运维-中央绩效目标表</w:t>
      </w:r>
      <w:bookmarkEnd w:id="16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322206天津市无线电监测站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无线电管理技术设施运维-中央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654.80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654.80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无线电管理技术设施运行维护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1.保障无线电监测设备和实施的正常运行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定期巡检次数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根据国家运维规范要求完成定期巡检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根据国家运维规范要求完成定期巡检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项目维护期间是否满足合同要求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项目维护期间是否满足合同要求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可满足合同要求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项目维护时间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是否低于预算估价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不超过预算估值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是否低于预算估价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项目维护时间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48小时内解决故障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能否满足监测站网络及设备正常使用，保障监测网正常运行，做好前期设备维护工作，减少设备维修成本。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能否满足监测站网络及设备正常使用，保障监测网正常运行，做好前期设备维护工作，减少设备维修成本。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做好运行维护工作，保障无线电监测设备和实施的正常运行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保障无线电监测设备和实施的正常运行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保障无线电监测设备和实施的正常运行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做好运行维护工作，保障无线电监测设备和实施的正常运行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监测设备设施正常运行满意度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维护期间监测设备和设施运行正常满意度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100全年无一级故障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2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18</w:t>
      </w:r>
      <w:r>
        <w:rPr>
          <w:rFonts w:ascii="方正仿宋_GBK" w:hAnsi="方正仿宋_GBK" w:eastAsia="方正仿宋_GBK" w:cs="方正仿宋_GBK"/>
          <w:color w:val="000000"/>
          <w:sz w:val="28"/>
        </w:rPr>
        <w:t>.无线电管理专项监管-中央绩效目标表</w:t>
      </w:r>
      <w:bookmarkEnd w:id="17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322206天津市无线电监测站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无线电管理专项监管-中央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专项监管项目资金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1.保障重大活动的无线电通信安全，确保重大活动中各项无线电业务正常有序</w:t>
            </w:r>
          </w:p>
          <w:p>
            <w:pPr>
              <w:pStyle w:val="15"/>
            </w:pPr>
            <w:r>
              <w:t>2.响应国家工信部对技术演练的要求，进行2022年度技术演练</w:t>
            </w:r>
          </w:p>
          <w:p>
            <w:pPr>
              <w:pStyle w:val="15"/>
            </w:pPr>
            <w:r>
              <w:t>3.完成天津市2023年无线电技术设施建设项目可行性研究报告编制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2022年度技术培训与监测演练次数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技术培训次数；</w:t>
            </w:r>
          </w:p>
          <w:p>
            <w:pPr>
              <w:pStyle w:val="15"/>
            </w:pPr>
            <w:r>
              <w:t>监测演练次数；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技术培训4次；</w:t>
            </w:r>
          </w:p>
          <w:p>
            <w:pPr>
              <w:pStyle w:val="15"/>
            </w:pPr>
            <w:r>
              <w:t>监测演练1次；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完成软课题数量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课题是否完成验收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完成重大活动保障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能够完成重大活动保障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能够完成重大活动保障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报告内容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报告内容的质量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必要性论证详实，建设方案和投资合理，符合相关标准规范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保障活动时长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不低于活动时长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不低于活动时长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不超出预算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不超出预算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不超出预算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保障重大活动无线电安全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保障重大活动无线电安全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保障重大活动无线电安全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不发生无线电管理责任或重大失误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不发生无线电管理或重大失误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2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19</w:t>
      </w:r>
      <w:r>
        <w:rPr>
          <w:rFonts w:ascii="方正仿宋_GBK" w:hAnsi="方正仿宋_GBK" w:eastAsia="方正仿宋_GBK" w:cs="方正仿宋_GBK"/>
          <w:color w:val="000000"/>
          <w:sz w:val="28"/>
        </w:rPr>
        <w:t>.无线电基础设施建设-中央绩效目标表</w:t>
      </w:r>
      <w:bookmarkEnd w:id="18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322206天津市无线电监测站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无线电基础设施建设-中央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2074.00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2074.00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无线电管理设施建设项目资金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1.实现不同厂家监测设备互联互通，实现监测资源统一管理，提升全市无线电监测联网水平</w:t>
            </w:r>
          </w:p>
          <w:p>
            <w:pPr>
              <w:pStyle w:val="15"/>
            </w:pPr>
            <w:r>
              <w:t>2.响应国家无管局对全国一体化平台建设以及资产管理水平，该系统将支持一体化平台对接，直接完成工信部无线电管理局及地方财政每年资产上报要求</w:t>
            </w:r>
          </w:p>
          <w:p>
            <w:pPr>
              <w:pStyle w:val="15"/>
            </w:pPr>
            <w:r>
              <w:t>3.提升天津市无线电专项监测，秩序维护和安全保障工作的自动化，智能化水平，全面提高治理能力，5G干扰协调等相关工作，推动频谱资源的精细化管理。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建设系统3个，改造系统1个，改造监测设施124套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建设系统3个，改造系统1个，改造监测设施124套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标准规范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可满足相关标准规范相关要求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可满足相关标准规范相关要求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项目建成时间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2035年5月31日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2035年5月31日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实际使用资金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不超过预算资金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服务能力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加强无线电监测和干扰排查能力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加强无线电监测和干扰排查能力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社会安全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实现对电磁环境的有效监测和监控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实现对电磁环境的有效监测和监控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利用监测管控体系及应用加强监测能力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bookmarkStart w:id="20" w:name="_GoBack"/>
      <w:bookmarkEnd w:id="20"/>
      <w:r>
        <w:rPr>
          <w:rFonts w:ascii="方正仿宋_GBK" w:hAnsi="方正仿宋_GBK" w:eastAsia="方正仿宋_GBK" w:cs="方正仿宋_GBK"/>
          <w:color w:val="000000"/>
          <w:sz w:val="28"/>
        </w:rPr>
        <w:t>.天津市中小企业专精特新、种子企业梯度培育绩效目标表</w:t>
      </w:r>
      <w:bookmarkEnd w:id="19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322208天津市中小企业服务中心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天津市中小企业专精特新、种子企业梯度培育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专精特新中小企业服务、专精特新种子企业梯度培育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1.围绕专精特新中小企业、种子企业梯度培育，开展咨询、合作交流、法律和融资对接、政策宣贯服务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会议培训报名与参加人数达标率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支持企业数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支持企业数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≥11家次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预算控制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经济社会发展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提高企业生产效率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企业生产效率有所提高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企业满意度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被服务企业满意度</w:t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F7F36"/>
    <w:rsid w:val="00227860"/>
    <w:rsid w:val="008D32A0"/>
    <w:rsid w:val="00AF2C90"/>
    <w:rsid w:val="00EF7F36"/>
    <w:rsid w:val="266A7BCC"/>
    <w:rsid w:val="636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7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7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3" Type="http://schemas.openxmlformats.org/officeDocument/2006/relationships/fontTable" Target="fontTable.xml"/><Relationship Id="rId52" Type="http://schemas.openxmlformats.org/officeDocument/2006/relationships/customXml" Target="../customXml/item49.xml"/><Relationship Id="rId51" Type="http://schemas.openxmlformats.org/officeDocument/2006/relationships/customXml" Target="../customXml/item48.xml"/><Relationship Id="rId50" Type="http://schemas.openxmlformats.org/officeDocument/2006/relationships/customXml" Target="../customXml/item47.xml"/><Relationship Id="rId5" Type="http://schemas.openxmlformats.org/officeDocument/2006/relationships/customXml" Target="../customXml/item2.xml"/><Relationship Id="rId49" Type="http://schemas.openxmlformats.org/officeDocument/2006/relationships/customXml" Target="../customXml/item46.xml"/><Relationship Id="rId48" Type="http://schemas.openxmlformats.org/officeDocument/2006/relationships/customXml" Target="../customXml/item45.xml"/><Relationship Id="rId47" Type="http://schemas.openxmlformats.org/officeDocument/2006/relationships/customXml" Target="../customXml/item44.xml"/><Relationship Id="rId46" Type="http://schemas.openxmlformats.org/officeDocument/2006/relationships/customXml" Target="../customXml/item43.xml"/><Relationship Id="rId45" Type="http://schemas.openxmlformats.org/officeDocument/2006/relationships/customXml" Target="../customXml/item42.xml"/><Relationship Id="rId44" Type="http://schemas.openxmlformats.org/officeDocument/2006/relationships/customXml" Target="../customXml/item41.xml"/><Relationship Id="rId43" Type="http://schemas.openxmlformats.org/officeDocument/2006/relationships/customXml" Target="../customXml/item40.xml"/><Relationship Id="rId42" Type="http://schemas.openxmlformats.org/officeDocument/2006/relationships/customXml" Target="../customXml/item39.xml"/><Relationship Id="rId41" Type="http://schemas.openxmlformats.org/officeDocument/2006/relationships/customXml" Target="../customXml/item38.xml"/><Relationship Id="rId40" Type="http://schemas.openxmlformats.org/officeDocument/2006/relationships/customXml" Target="../customXml/item37.xml"/><Relationship Id="rId4" Type="http://schemas.openxmlformats.org/officeDocument/2006/relationships/customXml" Target="../customXml/item1.xml"/><Relationship Id="rId39" Type="http://schemas.openxmlformats.org/officeDocument/2006/relationships/customXml" Target="../customXml/item36.xml"/><Relationship Id="rId38" Type="http://schemas.openxmlformats.org/officeDocument/2006/relationships/customXml" Target="../customXml/item35.xml"/><Relationship Id="rId37" Type="http://schemas.openxmlformats.org/officeDocument/2006/relationships/customXml" Target="../customXml/item34.xml"/><Relationship Id="rId36" Type="http://schemas.openxmlformats.org/officeDocument/2006/relationships/customXml" Target="../customXml/item33.xml"/><Relationship Id="rId35" Type="http://schemas.openxmlformats.org/officeDocument/2006/relationships/customXml" Target="../customXml/item32.xml"/><Relationship Id="rId34" Type="http://schemas.openxmlformats.org/officeDocument/2006/relationships/customXml" Target="../customXml/item31.xml"/><Relationship Id="rId33" Type="http://schemas.openxmlformats.org/officeDocument/2006/relationships/customXml" Target="../customXml/item30.xml"/><Relationship Id="rId32" Type="http://schemas.openxmlformats.org/officeDocument/2006/relationships/customXml" Target="../customXml/item29.xml"/><Relationship Id="rId31" Type="http://schemas.openxmlformats.org/officeDocument/2006/relationships/customXml" Target="../customXml/item28.xml"/><Relationship Id="rId30" Type="http://schemas.openxmlformats.org/officeDocument/2006/relationships/customXml" Target="../customXml/item27.xml"/><Relationship Id="rId3" Type="http://schemas.openxmlformats.org/officeDocument/2006/relationships/theme" Target="theme/theme1.xml"/><Relationship Id="rId29" Type="http://schemas.openxmlformats.org/officeDocument/2006/relationships/customXml" Target="../customXml/item26.xml"/><Relationship Id="rId28" Type="http://schemas.openxmlformats.org/officeDocument/2006/relationships/customXml" Target="../customXml/item25.xml"/><Relationship Id="rId27" Type="http://schemas.openxmlformats.org/officeDocument/2006/relationships/customXml" Target="../customXml/item24.xml"/><Relationship Id="rId26" Type="http://schemas.openxmlformats.org/officeDocument/2006/relationships/customXml" Target="../customXml/item23.xml"/><Relationship Id="rId25" Type="http://schemas.openxmlformats.org/officeDocument/2006/relationships/customXml" Target="../customXml/item22.xml"/><Relationship Id="rId24" Type="http://schemas.openxmlformats.org/officeDocument/2006/relationships/customXml" Target="../customXml/item21.xml"/><Relationship Id="rId23" Type="http://schemas.openxmlformats.org/officeDocument/2006/relationships/customXml" Target="../customXml/item20.xml"/><Relationship Id="rId22" Type="http://schemas.openxmlformats.org/officeDocument/2006/relationships/customXml" Target="../customXml/item19.xml"/><Relationship Id="rId21" Type="http://schemas.openxmlformats.org/officeDocument/2006/relationships/customXml" Target="../customXml/item18.xml"/><Relationship Id="rId20" Type="http://schemas.openxmlformats.org/officeDocument/2006/relationships/customXml" Target="../customXml/item17.xml"/><Relationship Id="rId2" Type="http://schemas.openxmlformats.org/officeDocument/2006/relationships/settings" Target="settings.xml"/><Relationship Id="rId19" Type="http://schemas.openxmlformats.org/officeDocument/2006/relationships/customXml" Target="../customXml/item16.xml"/><Relationship Id="rId18" Type="http://schemas.openxmlformats.org/officeDocument/2006/relationships/customXml" Target="../customXml/item15.xml"/><Relationship Id="rId17" Type="http://schemas.openxmlformats.org/officeDocument/2006/relationships/customXml" Target="../customXml/item14.xml"/><Relationship Id="rId16" Type="http://schemas.openxmlformats.org/officeDocument/2006/relationships/customXml" Target="../customXml/item13.xml"/><Relationship Id="rId15" Type="http://schemas.openxmlformats.org/officeDocument/2006/relationships/customXml" Target="../customXml/item12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2022-02-21T10:37:49Z</dcterms:created>
  <dcterms:modified xsi:type="dcterms:W3CDTF">2022-02-21T02:37:49Z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2022-02-21T10:37:49Z</dcterms:created>
  <dcterms:modified xsi:type="dcterms:W3CDTF">2022-02-21T02:37:49Z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2022-02-21T10:37:48Z</dcterms:created>
  <dcterms:modified xsi:type="dcterms:W3CDTF">2022-02-21T02:37:48Z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2022-02-21T10:37:48Z</dcterms:created>
  <dcterms:modified xsi:type="dcterms:W3CDTF">2022-02-21T02:37:48Z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2022-02-21T10:37:48Z</dcterms:created>
  <dcterms:modified xsi:type="dcterms:W3CDTF">2022-02-21T02:37:48Z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2022-02-21T10:37:49Z</dcterms:created>
  <dcterms:modified xsi:type="dcterms:W3CDTF">2022-02-21T02:37:49Z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2022-02-21T10:37:49Z</dcterms:created>
  <dcterms:modified xsi:type="dcterms:W3CDTF">2022-02-21T02:37:49Z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2022-02-21T10:37:48Z</dcterms:created>
  <dcterms:modified xsi:type="dcterms:W3CDTF">2022-02-21T02:37:48Z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2022-02-21T10:37:49Z</dcterms:created>
  <dcterms:modified xsi:type="dcterms:W3CDTF">2022-02-21T02:37:49Z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2022-02-21T10:37:49Z</dcterms:created>
  <dcterms:modified xsi:type="dcterms:W3CDTF">2022-02-21T02:37:49Z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2022-02-21T10:37:48Z</dcterms:created>
  <dcterms:modified xsi:type="dcterms:W3CDTF">2022-02-21T02:37:48Z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4FD8619-E67D-4831-9492-2CA70949BEF2}">
  <ds:schemaRefs/>
</ds:datastoreItem>
</file>

<file path=customXml/itemProps11.xml><?xml version="1.0" encoding="utf-8"?>
<ds:datastoreItem xmlns:ds="http://schemas.openxmlformats.org/officeDocument/2006/customXml" ds:itemID="{83B71B0E-202A-4656-A2EA-6536AD21CFB9}">
  <ds:schemaRefs/>
</ds:datastoreItem>
</file>

<file path=customXml/itemProps12.xml><?xml version="1.0" encoding="utf-8"?>
<ds:datastoreItem xmlns:ds="http://schemas.openxmlformats.org/officeDocument/2006/customXml" ds:itemID="{7C9EE315-DC82-4B04-B602-29F5A9B4FF15}">
  <ds:schemaRefs/>
</ds:datastoreItem>
</file>

<file path=customXml/itemProps13.xml><?xml version="1.0" encoding="utf-8"?>
<ds:datastoreItem xmlns:ds="http://schemas.openxmlformats.org/officeDocument/2006/customXml" ds:itemID="{472FD776-E3B7-4B32-9582-7EDF10A70A02}">
  <ds:schemaRefs/>
</ds:datastoreItem>
</file>

<file path=customXml/itemProps14.xml><?xml version="1.0" encoding="utf-8"?>
<ds:datastoreItem xmlns:ds="http://schemas.openxmlformats.org/officeDocument/2006/customXml" ds:itemID="{15BEC988-2DC3-4DBB-A6A5-4219DAD4077D}">
  <ds:schemaRefs/>
</ds:datastoreItem>
</file>

<file path=customXml/itemProps15.xml><?xml version="1.0" encoding="utf-8"?>
<ds:datastoreItem xmlns:ds="http://schemas.openxmlformats.org/officeDocument/2006/customXml" ds:itemID="{E334044E-5ECA-4F49-B6F4-248E76428002}">
  <ds:schemaRefs/>
</ds:datastoreItem>
</file>

<file path=customXml/itemProps16.xml><?xml version="1.0" encoding="utf-8"?>
<ds:datastoreItem xmlns:ds="http://schemas.openxmlformats.org/officeDocument/2006/customXml" ds:itemID="{D5C2C653-13B3-4F92-A5E4-9D104625E047}">
  <ds:schemaRefs/>
</ds:datastoreItem>
</file>

<file path=customXml/itemProps17.xml><?xml version="1.0" encoding="utf-8"?>
<ds:datastoreItem xmlns:ds="http://schemas.openxmlformats.org/officeDocument/2006/customXml" ds:itemID="{F610F404-0BF2-4C9B-AAB4-6A16694CBDCB}">
  <ds:schemaRefs/>
</ds:datastoreItem>
</file>

<file path=customXml/itemProps18.xml><?xml version="1.0" encoding="utf-8"?>
<ds:datastoreItem xmlns:ds="http://schemas.openxmlformats.org/officeDocument/2006/customXml" ds:itemID="{5A4B679C-22D9-42BE-9686-2C0F8F984A6C}">
  <ds:schemaRefs/>
</ds:datastoreItem>
</file>

<file path=customXml/itemProps19.xml><?xml version="1.0" encoding="utf-8"?>
<ds:datastoreItem xmlns:ds="http://schemas.openxmlformats.org/officeDocument/2006/customXml" ds:itemID="{B1664470-EAC1-405F-93D3-B6C548E54892}">
  <ds:schemaRefs/>
</ds:datastoreItem>
</file>

<file path=customXml/itemProps2.xml><?xml version="1.0" encoding="utf-8"?>
<ds:datastoreItem xmlns:ds="http://schemas.openxmlformats.org/officeDocument/2006/customXml" ds:itemID="{F5ACF6C4-EC6A-4ED0-9592-240C48944BEF}">
  <ds:schemaRefs/>
</ds:datastoreItem>
</file>

<file path=customXml/itemProps20.xml><?xml version="1.0" encoding="utf-8"?>
<ds:datastoreItem xmlns:ds="http://schemas.openxmlformats.org/officeDocument/2006/customXml" ds:itemID="{23C278B1-130E-40A7-9499-3B215306E962}">
  <ds:schemaRefs/>
</ds:datastoreItem>
</file>

<file path=customXml/itemProps21.xml><?xml version="1.0" encoding="utf-8"?>
<ds:datastoreItem xmlns:ds="http://schemas.openxmlformats.org/officeDocument/2006/customXml" ds:itemID="{36A6E3E2-60F5-4CF9-AE92-7F2E80C0D441}">
  <ds:schemaRefs/>
</ds:datastoreItem>
</file>

<file path=customXml/itemProps22.xml><?xml version="1.0" encoding="utf-8"?>
<ds:datastoreItem xmlns:ds="http://schemas.openxmlformats.org/officeDocument/2006/customXml" ds:itemID="{27FADBAE-6BD4-4DFF-A877-6C13A6B39A94}">
  <ds:schemaRefs/>
</ds:datastoreItem>
</file>

<file path=customXml/itemProps23.xml><?xml version="1.0" encoding="utf-8"?>
<ds:datastoreItem xmlns:ds="http://schemas.openxmlformats.org/officeDocument/2006/customXml" ds:itemID="{9F8E93FC-FAA6-4EBA-A29F-1A574E6F8F77}">
  <ds:schemaRefs/>
</ds:datastoreItem>
</file>

<file path=customXml/itemProps24.xml><?xml version="1.0" encoding="utf-8"?>
<ds:datastoreItem xmlns:ds="http://schemas.openxmlformats.org/officeDocument/2006/customXml" ds:itemID="{F3D2401A-66E1-407D-BFA0-97C6F62F1808}">
  <ds:schemaRefs/>
</ds:datastoreItem>
</file>

<file path=customXml/itemProps25.xml><?xml version="1.0" encoding="utf-8"?>
<ds:datastoreItem xmlns:ds="http://schemas.openxmlformats.org/officeDocument/2006/customXml" ds:itemID="{92D91C54-0576-4241-9D57-EDD831677D97}">
  <ds:schemaRefs/>
</ds:datastoreItem>
</file>

<file path=customXml/itemProps26.xml><?xml version="1.0" encoding="utf-8"?>
<ds:datastoreItem xmlns:ds="http://schemas.openxmlformats.org/officeDocument/2006/customXml" ds:itemID="{1A01B8F3-5252-4618-A5C4-F247F86773C6}">
  <ds:schemaRefs/>
</ds:datastoreItem>
</file>

<file path=customXml/itemProps27.xml><?xml version="1.0" encoding="utf-8"?>
<ds:datastoreItem xmlns:ds="http://schemas.openxmlformats.org/officeDocument/2006/customXml" ds:itemID="{65557B2B-76B4-459F-BE10-59CC660F99B1}">
  <ds:schemaRefs/>
</ds:datastoreItem>
</file>

<file path=customXml/itemProps28.xml><?xml version="1.0" encoding="utf-8"?>
<ds:datastoreItem xmlns:ds="http://schemas.openxmlformats.org/officeDocument/2006/customXml" ds:itemID="{C64CF54B-5A43-4461-A992-C1CD40EF3465}">
  <ds:schemaRefs/>
</ds:datastoreItem>
</file>

<file path=customXml/itemProps29.xml><?xml version="1.0" encoding="utf-8"?>
<ds:datastoreItem xmlns:ds="http://schemas.openxmlformats.org/officeDocument/2006/customXml" ds:itemID="{BF88CB3B-9DEC-4134-8923-F7E5F9175EC3}">
  <ds:schemaRefs/>
</ds:datastoreItem>
</file>

<file path=customXml/itemProps3.xml><?xml version="1.0" encoding="utf-8"?>
<ds:datastoreItem xmlns:ds="http://schemas.openxmlformats.org/officeDocument/2006/customXml" ds:itemID="{059F08D3-2D25-473D-8EA1-1B0D43F5D004}">
  <ds:schemaRefs/>
</ds:datastoreItem>
</file>

<file path=customXml/itemProps30.xml><?xml version="1.0" encoding="utf-8"?>
<ds:datastoreItem xmlns:ds="http://schemas.openxmlformats.org/officeDocument/2006/customXml" ds:itemID="{8D1E4FAA-0487-4E06-AE8E-F6F31F04004C}">
  <ds:schemaRefs/>
</ds:datastoreItem>
</file>

<file path=customXml/itemProps31.xml><?xml version="1.0" encoding="utf-8"?>
<ds:datastoreItem xmlns:ds="http://schemas.openxmlformats.org/officeDocument/2006/customXml" ds:itemID="{B43EE796-5165-4E53-9F78-11CF9ECB6B94}">
  <ds:schemaRefs/>
</ds:datastoreItem>
</file>

<file path=customXml/itemProps32.xml><?xml version="1.0" encoding="utf-8"?>
<ds:datastoreItem xmlns:ds="http://schemas.openxmlformats.org/officeDocument/2006/customXml" ds:itemID="{72BC0EA9-1A9D-498E-886C-AA3268FDB965}">
  <ds:schemaRefs/>
</ds:datastoreItem>
</file>

<file path=customXml/itemProps33.xml><?xml version="1.0" encoding="utf-8"?>
<ds:datastoreItem xmlns:ds="http://schemas.openxmlformats.org/officeDocument/2006/customXml" ds:itemID="{9DD1B028-DE18-46DC-BD81-ECA1E6AD0BEB}">
  <ds:schemaRefs/>
</ds:datastoreItem>
</file>

<file path=customXml/itemProps34.xml><?xml version="1.0" encoding="utf-8"?>
<ds:datastoreItem xmlns:ds="http://schemas.openxmlformats.org/officeDocument/2006/customXml" ds:itemID="{084195B0-56D7-40B2-AF4C-DEC68F063CD5}">
  <ds:schemaRefs/>
</ds:datastoreItem>
</file>

<file path=customXml/itemProps35.xml><?xml version="1.0" encoding="utf-8"?>
<ds:datastoreItem xmlns:ds="http://schemas.openxmlformats.org/officeDocument/2006/customXml" ds:itemID="{A4067545-F480-4197-A792-72EE2592B131}">
  <ds:schemaRefs/>
</ds:datastoreItem>
</file>

<file path=customXml/itemProps36.xml><?xml version="1.0" encoding="utf-8"?>
<ds:datastoreItem xmlns:ds="http://schemas.openxmlformats.org/officeDocument/2006/customXml" ds:itemID="{507DD8C2-F909-491E-8D1A-6B427BF33FC2}">
  <ds:schemaRefs/>
</ds:datastoreItem>
</file>

<file path=customXml/itemProps37.xml><?xml version="1.0" encoding="utf-8"?>
<ds:datastoreItem xmlns:ds="http://schemas.openxmlformats.org/officeDocument/2006/customXml" ds:itemID="{83AF83AB-4E77-4DA2-908F-79B4FE46CAD8}">
  <ds:schemaRefs/>
</ds:datastoreItem>
</file>

<file path=customXml/itemProps38.xml><?xml version="1.0" encoding="utf-8"?>
<ds:datastoreItem xmlns:ds="http://schemas.openxmlformats.org/officeDocument/2006/customXml" ds:itemID="{650C4866-7EEA-4A45-85E1-DEA4FDD83F7B}">
  <ds:schemaRefs/>
</ds:datastoreItem>
</file>

<file path=customXml/itemProps39.xml><?xml version="1.0" encoding="utf-8"?>
<ds:datastoreItem xmlns:ds="http://schemas.openxmlformats.org/officeDocument/2006/customXml" ds:itemID="{29590E09-B51A-463C-A2CE-F65CA2B45034}">
  <ds:schemaRefs/>
</ds:datastoreItem>
</file>

<file path=customXml/itemProps4.xml><?xml version="1.0" encoding="utf-8"?>
<ds:datastoreItem xmlns:ds="http://schemas.openxmlformats.org/officeDocument/2006/customXml" ds:itemID="{73016EED-1617-4E94-BEC8-52DDFC3EC367}">
  <ds:schemaRefs/>
</ds:datastoreItem>
</file>

<file path=customXml/itemProps40.xml><?xml version="1.0" encoding="utf-8"?>
<ds:datastoreItem xmlns:ds="http://schemas.openxmlformats.org/officeDocument/2006/customXml" ds:itemID="{DA5A758A-FD9B-4C46-945B-E6887F7B375D}">
  <ds:schemaRefs/>
</ds:datastoreItem>
</file>

<file path=customXml/itemProps41.xml><?xml version="1.0" encoding="utf-8"?>
<ds:datastoreItem xmlns:ds="http://schemas.openxmlformats.org/officeDocument/2006/customXml" ds:itemID="{389811A6-3393-4202-B0B6-62546450A69B}">
  <ds:schemaRefs/>
</ds:datastoreItem>
</file>

<file path=customXml/itemProps42.xml><?xml version="1.0" encoding="utf-8"?>
<ds:datastoreItem xmlns:ds="http://schemas.openxmlformats.org/officeDocument/2006/customXml" ds:itemID="{B5086C86-7620-48B3-A9CC-2417BB449866}">
  <ds:schemaRefs/>
</ds:datastoreItem>
</file>

<file path=customXml/itemProps43.xml><?xml version="1.0" encoding="utf-8"?>
<ds:datastoreItem xmlns:ds="http://schemas.openxmlformats.org/officeDocument/2006/customXml" ds:itemID="{744296F2-43DB-45C7-AFCF-48CC4A7A8AEA}">
  <ds:schemaRefs/>
</ds:datastoreItem>
</file>

<file path=customXml/itemProps44.xml><?xml version="1.0" encoding="utf-8"?>
<ds:datastoreItem xmlns:ds="http://schemas.openxmlformats.org/officeDocument/2006/customXml" ds:itemID="{63922F30-B9C2-43AD-958C-4B99C366D43D}">
  <ds:schemaRefs/>
</ds:datastoreItem>
</file>

<file path=customXml/itemProps45.xml><?xml version="1.0" encoding="utf-8"?>
<ds:datastoreItem xmlns:ds="http://schemas.openxmlformats.org/officeDocument/2006/customXml" ds:itemID="{8BB55279-506E-44A0-8691-E141D72440A0}">
  <ds:schemaRefs/>
</ds:datastoreItem>
</file>

<file path=customXml/itemProps46.xml><?xml version="1.0" encoding="utf-8"?>
<ds:datastoreItem xmlns:ds="http://schemas.openxmlformats.org/officeDocument/2006/customXml" ds:itemID="{24FEF082-1723-47B3-B35C-1F91ACF45827}">
  <ds:schemaRefs/>
</ds:datastoreItem>
</file>

<file path=customXml/itemProps47.xml><?xml version="1.0" encoding="utf-8"?>
<ds:datastoreItem xmlns:ds="http://schemas.openxmlformats.org/officeDocument/2006/customXml" ds:itemID="{7C364E0F-61DC-4133-B6E8-F859CDCD058D}">
  <ds:schemaRefs/>
</ds:datastoreItem>
</file>

<file path=customXml/itemProps48.xml><?xml version="1.0" encoding="utf-8"?>
<ds:datastoreItem xmlns:ds="http://schemas.openxmlformats.org/officeDocument/2006/customXml" ds:itemID="{CEBEF0E6-913C-4887-88F0-6CC3A3C64DFE}">
  <ds:schemaRefs/>
</ds:datastoreItem>
</file>

<file path=customXml/itemProps49.xml><?xml version="1.0" encoding="utf-8"?>
<ds:datastoreItem xmlns:ds="http://schemas.openxmlformats.org/officeDocument/2006/customXml" ds:itemID="{CF39CA09-9C94-4459-9CC1-EA0D4E497D84}">
  <ds:schemaRefs/>
</ds:datastoreItem>
</file>

<file path=customXml/itemProps5.xml><?xml version="1.0" encoding="utf-8"?>
<ds:datastoreItem xmlns:ds="http://schemas.openxmlformats.org/officeDocument/2006/customXml" ds:itemID="{8402960B-FD09-4C39-BC5F-FBD525DE2756}">
  <ds:schemaRefs/>
</ds:datastoreItem>
</file>

<file path=customXml/itemProps6.xml><?xml version="1.0" encoding="utf-8"?>
<ds:datastoreItem xmlns:ds="http://schemas.openxmlformats.org/officeDocument/2006/customXml" ds:itemID="{F2C6BBC5-D464-4620-9CE5-D0AEEE8C4FC5}">
  <ds:schemaRefs/>
</ds:datastoreItem>
</file>

<file path=customXml/itemProps7.xml><?xml version="1.0" encoding="utf-8"?>
<ds:datastoreItem xmlns:ds="http://schemas.openxmlformats.org/officeDocument/2006/customXml" ds:itemID="{899989FA-1C00-4409-843F-F1202B39D3B5}">
  <ds:schemaRefs/>
</ds:datastoreItem>
</file>

<file path=customXml/itemProps8.xml><?xml version="1.0" encoding="utf-8"?>
<ds:datastoreItem xmlns:ds="http://schemas.openxmlformats.org/officeDocument/2006/customXml" ds:itemID="{8A93765F-C067-4DA1-882A-BD0C5CF027DD}">
  <ds:schemaRefs/>
</ds:datastoreItem>
</file>

<file path=customXml/itemProps9.xml><?xml version="1.0" encoding="utf-8"?>
<ds:datastoreItem xmlns:ds="http://schemas.openxmlformats.org/officeDocument/2006/customXml" ds:itemID="{1274D67D-BF71-496A-9C25-7BB5BD253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1646</Words>
  <Characters>9387</Characters>
  <Lines>78</Lines>
  <Paragraphs>22</Paragraphs>
  <TotalTime>4</TotalTime>
  <ScaleCrop>false</ScaleCrop>
  <LinksUpToDate>false</LinksUpToDate>
  <CharactersWithSpaces>11011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2022-02-21T10:37:00Z</dcterms:created>
  <dc:creator>hp</dc:creator>
  <cp:lastModifiedBy>hp</cp:lastModifiedBy>
  <dcterms:modified xsi:type="dcterms:W3CDTF">2022-03-11T08:48:07Z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