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津工信科</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19</w:t>
      </w:r>
      <w:r>
        <w:rPr>
          <w:rFonts w:hint="default" w:ascii="Times New Roman" w:hAnsi="Times New Roman" w:eastAsia="黑体" w:cs="Times New Roman"/>
          <w:color w:val="auto"/>
          <w:sz w:val="32"/>
          <w:szCs w:val="32"/>
          <w:lang w:val="en-US" w:eastAsia="zh-CN"/>
        </w:rPr>
        <w:t>号</w:t>
      </w: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before="0"/>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服务平台申报单位应当具备的具体条件</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0"/>
        <w:textAlignment w:val="auto"/>
        <w:outlineLvl w:val="9"/>
        <w:rPr>
          <w:rFonts w:hint="eastAsia"/>
        </w:rPr>
      </w:pPr>
    </w:p>
    <w:tbl>
      <w:tblPr>
        <w:tblStyle w:val="4"/>
        <w:tblW w:w="9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930"/>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jc w:val="center"/>
        </w:trPr>
        <w:tc>
          <w:tcPr>
            <w:tcW w:w="1958" w:type="dxa"/>
            <w:vAlign w:val="center"/>
          </w:tcPr>
          <w:p>
            <w:pPr>
              <w:spacing w:line="320" w:lineRule="exact"/>
              <w:jc w:val="center"/>
              <w:rPr>
                <w:rFonts w:hint="eastAsia" w:ascii="Times New Roman" w:hAnsi="Times New Roman" w:eastAsia="仿宋_GB2312"/>
                <w:b/>
                <w:color w:val="auto"/>
                <w:sz w:val="24"/>
                <w:szCs w:val="24"/>
                <w:highlight w:val="none"/>
              </w:rPr>
            </w:pPr>
            <w:r>
              <w:rPr>
                <w:rFonts w:hint="eastAsia" w:ascii="Times New Roman" w:hAnsi="Times New Roman" w:eastAsia="仿宋_GB2312"/>
                <w:b/>
                <w:color w:val="auto"/>
                <w:sz w:val="24"/>
                <w:szCs w:val="24"/>
                <w:highlight w:val="none"/>
              </w:rPr>
              <w:t>项  目</w:t>
            </w:r>
          </w:p>
        </w:tc>
        <w:tc>
          <w:tcPr>
            <w:tcW w:w="3930" w:type="dxa"/>
            <w:vAlign w:val="center"/>
          </w:tcPr>
          <w:p>
            <w:pPr>
              <w:spacing w:line="320" w:lineRule="exact"/>
              <w:jc w:val="center"/>
              <w:rPr>
                <w:rFonts w:hint="eastAsia" w:ascii="Times New Roman" w:hAnsi="Times New Roman" w:eastAsia="仿宋_GB2312"/>
                <w:b/>
                <w:color w:val="auto"/>
                <w:sz w:val="24"/>
                <w:szCs w:val="24"/>
                <w:highlight w:val="none"/>
              </w:rPr>
            </w:pPr>
            <w:r>
              <w:rPr>
                <w:rFonts w:hint="eastAsia" w:ascii="Times New Roman" w:hAnsi="Times New Roman" w:eastAsia="仿宋_GB2312"/>
                <w:b/>
                <w:color w:val="auto"/>
                <w:sz w:val="24"/>
                <w:szCs w:val="24"/>
                <w:highlight w:val="none"/>
              </w:rPr>
              <w:t>试验检测类</w:t>
            </w:r>
          </w:p>
        </w:tc>
        <w:tc>
          <w:tcPr>
            <w:tcW w:w="3971" w:type="dxa"/>
            <w:vAlign w:val="center"/>
          </w:tcPr>
          <w:p>
            <w:pPr>
              <w:spacing w:line="320" w:lineRule="exact"/>
              <w:jc w:val="center"/>
              <w:rPr>
                <w:rFonts w:hint="eastAsia" w:ascii="Times New Roman" w:hAnsi="Times New Roman" w:eastAsia="仿宋_GB2312"/>
                <w:b/>
                <w:color w:val="auto"/>
                <w:sz w:val="24"/>
                <w:szCs w:val="24"/>
                <w:highlight w:val="none"/>
              </w:rPr>
            </w:pPr>
            <w:r>
              <w:rPr>
                <w:rFonts w:hint="eastAsia" w:ascii="Times New Roman" w:hAnsi="Times New Roman" w:eastAsia="仿宋_GB2312"/>
                <w:b/>
                <w:color w:val="auto"/>
                <w:sz w:val="24"/>
                <w:szCs w:val="24"/>
                <w:highlight w:val="none"/>
              </w:rPr>
              <w:t>信息服务类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（一）符合国家有关法律、法规、规章和国家产业技术基础发展政策及相关规定。</w:t>
            </w:r>
          </w:p>
        </w:tc>
        <w:tc>
          <w:tcPr>
            <w:tcW w:w="7901" w:type="dxa"/>
            <w:gridSpan w:val="2"/>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在</w:t>
            </w:r>
            <w:r>
              <w:rPr>
                <w:rFonts w:hint="eastAsia" w:eastAsia="仿宋_GB2312"/>
                <w:color w:val="auto"/>
                <w:sz w:val="24"/>
                <w:szCs w:val="24"/>
                <w:highlight w:val="none"/>
                <w:lang w:val="en-US" w:eastAsia="zh-CN"/>
              </w:rPr>
              <w:t>我市范围内</w:t>
            </w:r>
            <w:r>
              <w:rPr>
                <w:rFonts w:hint="eastAsia" w:ascii="Times New Roman" w:hAnsi="Times New Roman" w:eastAsia="仿宋_GB2312"/>
                <w:color w:val="auto"/>
                <w:sz w:val="24"/>
                <w:szCs w:val="24"/>
                <w:highlight w:val="none"/>
              </w:rPr>
              <w:t>依法设立的独立法人单位。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7901" w:type="dxa"/>
            <w:gridSpan w:val="2"/>
            <w:vAlign w:val="center"/>
          </w:tcPr>
          <w:p>
            <w:pPr>
              <w:spacing w:line="320" w:lineRule="exact"/>
              <w:rPr>
                <w:rFonts w:hint="eastAsia"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rPr>
              <w:t>遵守国家法律、法规和规章，未发生由行政执法监督机关确认的违法、违规行为。</w:t>
            </w:r>
            <w:r>
              <w:rPr>
                <w:rFonts w:hint="eastAsia" w:ascii="Times New Roman" w:hAnsi="Times New Roman" w:eastAsia="仿宋_GB2312"/>
                <w:sz w:val="24"/>
                <w:szCs w:val="24"/>
                <w:lang w:val="en-US" w:eastAsia="zh-CN"/>
              </w:rPr>
              <w:t>不存在司法、行政部门认定的严重违法失信行为。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7901" w:type="dxa"/>
            <w:gridSpan w:val="2"/>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无侵犯他人知识产权的行为。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（二）自觉接受政府有关部门的指导和监督。</w:t>
            </w:r>
          </w:p>
        </w:tc>
        <w:tc>
          <w:tcPr>
            <w:tcW w:w="7901" w:type="dxa"/>
            <w:gridSpan w:val="2"/>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积极承担政府部门委托的有关任务。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7901" w:type="dxa"/>
            <w:gridSpan w:val="2"/>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按时上报服务平台能力建设和服务运营情况。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7901" w:type="dxa"/>
            <w:gridSpan w:val="2"/>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政府有关部门监督检查时，如实汇报有关情况。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7901" w:type="dxa"/>
            <w:gridSpan w:val="2"/>
            <w:vAlign w:val="top"/>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上报试验</w:t>
            </w:r>
            <w:r>
              <w:rPr>
                <w:rFonts w:hint="eastAsia" w:ascii="Times New Roman" w:hAnsi="Times New Roman" w:eastAsia="仿宋_GB2312"/>
                <w:color w:val="auto"/>
                <w:sz w:val="24"/>
                <w:szCs w:val="24"/>
                <w:highlight w:val="none"/>
                <w:lang w:eastAsia="zh-CN"/>
              </w:rPr>
              <w:t>检测</w:t>
            </w:r>
            <w:r>
              <w:rPr>
                <w:rFonts w:hint="eastAsia" w:ascii="Times New Roman" w:hAnsi="Times New Roman" w:eastAsia="仿宋_GB2312"/>
                <w:color w:val="auto"/>
                <w:sz w:val="24"/>
                <w:szCs w:val="24"/>
                <w:highlight w:val="none"/>
              </w:rPr>
              <w:t>、信息服务发展报告。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（三）具有完善的运行机制。</w:t>
            </w:r>
          </w:p>
        </w:tc>
        <w:tc>
          <w:tcPr>
            <w:tcW w:w="7901" w:type="dxa"/>
            <w:gridSpan w:val="2"/>
            <w:vAlign w:val="top"/>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具备完善的管理制度。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7901" w:type="dxa"/>
            <w:gridSpan w:val="2"/>
            <w:vAlign w:val="top"/>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具有规范的服务流程和服务质量保证措施。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7901" w:type="dxa"/>
            <w:gridSpan w:val="2"/>
            <w:vAlign w:val="top"/>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账务状况及运营情况良好。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7901" w:type="dxa"/>
            <w:gridSpan w:val="2"/>
            <w:vAlign w:val="top"/>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具有明确的近期及长期发展目标。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四</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行业或</w:t>
            </w:r>
            <w:r>
              <w:rPr>
                <w:rFonts w:hint="default" w:ascii="Times New Roman" w:hAnsi="Times New Roman" w:eastAsia="仿宋_GB2312"/>
                <w:color w:val="auto"/>
                <w:sz w:val="24"/>
                <w:szCs w:val="24"/>
                <w:highlight w:val="none"/>
              </w:rPr>
              <w:t>地区</w:t>
            </w:r>
            <w:r>
              <w:rPr>
                <w:rFonts w:hint="eastAsia" w:ascii="Times New Roman" w:hAnsi="Times New Roman" w:eastAsia="仿宋_GB2312"/>
                <w:color w:val="auto"/>
                <w:sz w:val="24"/>
                <w:szCs w:val="24"/>
                <w:highlight w:val="none"/>
              </w:rPr>
              <w:t>内公信度高、服务面广、具有示范带动作用。</w:t>
            </w: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具有</w:t>
            </w:r>
            <w:r>
              <w:rPr>
                <w:rFonts w:hint="eastAsia" w:eastAsia="仿宋_GB2312"/>
                <w:color w:val="auto"/>
                <w:sz w:val="24"/>
                <w:szCs w:val="24"/>
                <w:highlight w:val="none"/>
                <w:lang w:val="en-US" w:eastAsia="zh-CN"/>
              </w:rPr>
              <w:t>2年以上</w:t>
            </w:r>
            <w:r>
              <w:rPr>
                <w:rFonts w:hint="eastAsia" w:ascii="Times New Roman" w:hAnsi="Times New Roman" w:eastAsia="仿宋_GB2312"/>
                <w:color w:val="auto"/>
                <w:sz w:val="24"/>
                <w:szCs w:val="24"/>
                <w:highlight w:val="none"/>
              </w:rPr>
              <w:t>相关领域试验验证、计量检测服务的经历。</w:t>
            </w: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具有</w:t>
            </w:r>
            <w:r>
              <w:rPr>
                <w:rFonts w:hint="eastAsia" w:eastAsia="仿宋_GB2312"/>
                <w:color w:val="auto"/>
                <w:sz w:val="24"/>
                <w:szCs w:val="24"/>
                <w:highlight w:val="none"/>
                <w:lang w:val="en-US" w:eastAsia="zh-CN"/>
              </w:rPr>
              <w:t>2年以上</w:t>
            </w:r>
            <w:r>
              <w:rPr>
                <w:rFonts w:hint="eastAsia" w:ascii="Times New Roman" w:hAnsi="Times New Roman" w:eastAsia="仿宋_GB2312"/>
                <w:color w:val="auto"/>
                <w:sz w:val="24"/>
                <w:szCs w:val="24"/>
                <w:highlight w:val="none"/>
              </w:rPr>
              <w:t>相关领域</w:t>
            </w:r>
            <w:r>
              <w:rPr>
                <w:rFonts w:hint="eastAsia" w:ascii="Times New Roman" w:hAnsi="Times New Roman" w:eastAsia="仿宋_GB2312"/>
                <w:color w:val="auto"/>
                <w:sz w:val="24"/>
                <w:szCs w:val="24"/>
                <w:highlight w:val="none"/>
                <w:lang w:eastAsia="zh-CN"/>
              </w:rPr>
              <w:t>行</w:t>
            </w:r>
            <w:r>
              <w:rPr>
                <w:rFonts w:hint="eastAsia" w:ascii="Times New Roman" w:hAnsi="Times New Roman" w:eastAsia="仿宋_GB2312"/>
                <w:color w:val="auto"/>
                <w:sz w:val="24"/>
                <w:szCs w:val="24"/>
                <w:highlight w:val="none"/>
              </w:rPr>
              <w:t>业信息、知识产权</w:t>
            </w:r>
            <w:r>
              <w:rPr>
                <w:rFonts w:hint="eastAsia" w:ascii="Times New Roman" w:hAnsi="Times New Roman" w:eastAsia="仿宋_GB2312"/>
                <w:color w:val="auto"/>
                <w:sz w:val="24"/>
                <w:szCs w:val="24"/>
                <w:highlight w:val="none"/>
                <w:lang w:eastAsia="zh-CN"/>
              </w:rPr>
              <w:t>、创新成果产业化</w:t>
            </w:r>
            <w:r>
              <w:rPr>
                <w:rFonts w:hint="eastAsia" w:ascii="Times New Roman" w:hAnsi="Times New Roman" w:eastAsia="仿宋_GB2312"/>
                <w:color w:val="auto"/>
                <w:sz w:val="24"/>
                <w:szCs w:val="24"/>
                <w:highlight w:val="none"/>
              </w:rPr>
              <w:t>服务的经历。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与</w:t>
            </w:r>
            <w:r>
              <w:rPr>
                <w:rFonts w:hint="eastAsia" w:ascii="Times New Roman" w:hAnsi="Times New Roman" w:eastAsia="仿宋_GB2312"/>
                <w:color w:val="auto"/>
                <w:sz w:val="24"/>
                <w:szCs w:val="24"/>
                <w:highlight w:val="none"/>
                <w:lang w:eastAsia="zh-CN"/>
              </w:rPr>
              <w:t>行业或</w:t>
            </w:r>
            <w:r>
              <w:rPr>
                <w:rFonts w:hint="default" w:ascii="Times New Roman" w:hAnsi="Times New Roman" w:eastAsia="仿宋_GB2312"/>
                <w:color w:val="auto"/>
                <w:sz w:val="24"/>
                <w:szCs w:val="24"/>
                <w:highlight w:val="none"/>
              </w:rPr>
              <w:t>区域内</w:t>
            </w:r>
            <w:r>
              <w:rPr>
                <w:rFonts w:hint="eastAsia" w:ascii="Times New Roman" w:hAnsi="Times New Roman" w:eastAsia="仿宋_GB2312"/>
                <w:color w:val="auto"/>
                <w:sz w:val="24"/>
                <w:szCs w:val="24"/>
                <w:highlight w:val="none"/>
              </w:rPr>
              <w:t>相关</w:t>
            </w:r>
            <w:r>
              <w:rPr>
                <w:rFonts w:hint="eastAsia" w:ascii="Times New Roman" w:hAnsi="Times New Roman" w:eastAsia="仿宋_GB2312"/>
                <w:color w:val="auto"/>
                <w:sz w:val="24"/>
                <w:szCs w:val="24"/>
                <w:highlight w:val="none"/>
                <w:lang w:eastAsia="zh-CN"/>
              </w:rPr>
              <w:t>的</w:t>
            </w:r>
            <w:r>
              <w:rPr>
                <w:rFonts w:hint="eastAsia" w:ascii="Times New Roman" w:hAnsi="Times New Roman" w:eastAsia="仿宋_GB2312"/>
                <w:color w:val="auto"/>
                <w:sz w:val="24"/>
                <w:szCs w:val="24"/>
                <w:highlight w:val="none"/>
              </w:rPr>
              <w:t>机构（联盟、</w:t>
            </w:r>
            <w:r>
              <w:rPr>
                <w:rFonts w:hint="eastAsia" w:eastAsia="仿宋_GB2312"/>
                <w:color w:val="auto"/>
                <w:sz w:val="24"/>
                <w:szCs w:val="24"/>
                <w:highlight w:val="none"/>
                <w:lang w:val="en-US" w:eastAsia="zh-CN"/>
              </w:rPr>
              <w:t>协会</w:t>
            </w:r>
            <w:r>
              <w:rPr>
                <w:rFonts w:hint="default"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科研院所</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企业</w:t>
            </w:r>
            <w:r>
              <w:rPr>
                <w:rFonts w:hint="eastAsia" w:ascii="Times New Roman" w:hAnsi="Times New Roman" w:eastAsia="仿宋_GB2312"/>
                <w:color w:val="auto"/>
                <w:sz w:val="24"/>
                <w:szCs w:val="24"/>
                <w:highlight w:val="none"/>
                <w:lang w:eastAsia="zh-CN"/>
              </w:rPr>
              <w:t>和高校等</w:t>
            </w:r>
            <w:r>
              <w:rPr>
                <w:rFonts w:hint="eastAsia" w:ascii="Times New Roman" w:hAnsi="Times New Roman" w:eastAsia="仿宋_GB2312"/>
                <w:color w:val="auto"/>
                <w:sz w:val="24"/>
                <w:szCs w:val="24"/>
                <w:highlight w:val="none"/>
              </w:rPr>
              <w:t>）具有紧密合作关系。</w:t>
            </w: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与</w:t>
            </w:r>
            <w:r>
              <w:rPr>
                <w:rFonts w:hint="eastAsia" w:ascii="Times New Roman" w:hAnsi="Times New Roman" w:eastAsia="仿宋_GB2312"/>
                <w:color w:val="auto"/>
                <w:sz w:val="24"/>
                <w:szCs w:val="24"/>
                <w:highlight w:val="none"/>
                <w:lang w:eastAsia="zh-CN"/>
              </w:rPr>
              <w:t>行业或</w:t>
            </w:r>
            <w:r>
              <w:rPr>
                <w:rFonts w:hint="default" w:ascii="Times New Roman" w:hAnsi="Times New Roman" w:eastAsia="仿宋_GB2312"/>
                <w:color w:val="auto"/>
                <w:sz w:val="24"/>
                <w:szCs w:val="24"/>
                <w:highlight w:val="none"/>
              </w:rPr>
              <w:t>区域内</w:t>
            </w:r>
            <w:r>
              <w:rPr>
                <w:rFonts w:hint="eastAsia" w:ascii="Times New Roman" w:hAnsi="Times New Roman" w:eastAsia="仿宋_GB2312"/>
                <w:color w:val="auto"/>
                <w:sz w:val="24"/>
                <w:szCs w:val="24"/>
                <w:highlight w:val="none"/>
              </w:rPr>
              <w:t>相关</w:t>
            </w:r>
            <w:r>
              <w:rPr>
                <w:rFonts w:hint="eastAsia" w:ascii="Times New Roman" w:hAnsi="Times New Roman" w:eastAsia="仿宋_GB2312"/>
                <w:color w:val="auto"/>
                <w:sz w:val="24"/>
                <w:szCs w:val="24"/>
                <w:highlight w:val="none"/>
                <w:lang w:eastAsia="zh-CN"/>
              </w:rPr>
              <w:t>的</w:t>
            </w:r>
            <w:r>
              <w:rPr>
                <w:rFonts w:hint="eastAsia" w:ascii="Times New Roman" w:hAnsi="Times New Roman" w:eastAsia="仿宋_GB2312"/>
                <w:color w:val="auto"/>
                <w:sz w:val="24"/>
                <w:szCs w:val="24"/>
                <w:highlight w:val="none"/>
              </w:rPr>
              <w:t>机构（联盟、</w:t>
            </w:r>
            <w:r>
              <w:rPr>
                <w:rFonts w:hint="eastAsia" w:eastAsia="仿宋_GB2312"/>
                <w:color w:val="auto"/>
                <w:sz w:val="24"/>
                <w:szCs w:val="24"/>
                <w:highlight w:val="none"/>
                <w:lang w:val="en-US" w:eastAsia="zh-CN"/>
              </w:rPr>
              <w:t>协会</w:t>
            </w:r>
            <w:r>
              <w:rPr>
                <w:rFonts w:hint="default"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科研院所</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企业</w:t>
            </w:r>
            <w:r>
              <w:rPr>
                <w:rFonts w:hint="eastAsia" w:ascii="Times New Roman" w:hAnsi="Times New Roman" w:eastAsia="仿宋_GB2312"/>
                <w:color w:val="auto"/>
                <w:sz w:val="24"/>
                <w:szCs w:val="24"/>
                <w:highlight w:val="none"/>
                <w:lang w:eastAsia="zh-CN"/>
              </w:rPr>
              <w:t>和高校等</w:t>
            </w:r>
            <w:r>
              <w:rPr>
                <w:rFonts w:hint="eastAsia" w:ascii="Times New Roman" w:hAnsi="Times New Roman" w:eastAsia="仿宋_GB2312"/>
                <w:color w:val="auto"/>
                <w:sz w:val="24"/>
                <w:szCs w:val="24"/>
                <w:highlight w:val="none"/>
              </w:rPr>
              <w:t>）具有紧密合作关系。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具备对</w:t>
            </w:r>
            <w:r>
              <w:rPr>
                <w:rFonts w:hint="eastAsia" w:ascii="Times New Roman" w:hAnsi="Times New Roman" w:eastAsia="仿宋_GB2312"/>
                <w:color w:val="auto"/>
                <w:sz w:val="24"/>
                <w:szCs w:val="24"/>
                <w:highlight w:val="none"/>
                <w:lang w:eastAsia="zh-CN"/>
              </w:rPr>
              <w:t>行业或</w:t>
            </w:r>
            <w:r>
              <w:rPr>
                <w:rFonts w:hint="eastAsia" w:ascii="Times New Roman" w:hAnsi="Times New Roman" w:eastAsia="仿宋_GB2312"/>
                <w:color w:val="auto"/>
                <w:sz w:val="24"/>
                <w:szCs w:val="24"/>
                <w:highlight w:val="none"/>
              </w:rPr>
              <w:t>区域相关资源的整合、推广、辐射及带动服务的能力。</w:t>
            </w: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具备对</w:t>
            </w:r>
            <w:r>
              <w:rPr>
                <w:rFonts w:hint="eastAsia" w:ascii="Times New Roman" w:hAnsi="Times New Roman" w:eastAsia="仿宋_GB2312"/>
                <w:color w:val="auto"/>
                <w:sz w:val="24"/>
                <w:szCs w:val="24"/>
                <w:highlight w:val="none"/>
                <w:lang w:eastAsia="zh-CN"/>
              </w:rPr>
              <w:t>行业或</w:t>
            </w:r>
            <w:r>
              <w:rPr>
                <w:rFonts w:hint="eastAsia" w:ascii="Times New Roman" w:hAnsi="Times New Roman" w:eastAsia="仿宋_GB2312"/>
                <w:color w:val="auto"/>
                <w:sz w:val="24"/>
                <w:szCs w:val="24"/>
                <w:highlight w:val="none"/>
              </w:rPr>
              <w:t>区域相关资源的整合、推广、辐射及带动服务的能力。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通过国家检验检测机构资质认定或国家检测和校准实验室认可。</w:t>
            </w: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每年能够为一定数量的企业提供</w:t>
            </w:r>
            <w:r>
              <w:rPr>
                <w:rFonts w:hint="eastAsia" w:ascii="Times New Roman" w:hAnsi="Times New Roman" w:eastAsia="仿宋_GB2312"/>
                <w:color w:val="auto"/>
                <w:sz w:val="24"/>
                <w:szCs w:val="24"/>
                <w:highlight w:val="none"/>
                <w:lang w:val="en-US" w:eastAsia="zh-CN"/>
              </w:rPr>
              <w:t>行</w:t>
            </w:r>
            <w:r>
              <w:rPr>
                <w:rFonts w:hint="eastAsia" w:ascii="Times New Roman" w:hAnsi="Times New Roman" w:eastAsia="仿宋_GB2312"/>
                <w:color w:val="auto"/>
                <w:sz w:val="24"/>
                <w:szCs w:val="24"/>
                <w:highlight w:val="none"/>
              </w:rPr>
              <w:t>业信息</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知识产权</w:t>
            </w:r>
            <w:r>
              <w:rPr>
                <w:rFonts w:hint="eastAsia" w:ascii="Times New Roman" w:hAnsi="Times New Roman" w:eastAsia="仿宋_GB2312"/>
                <w:color w:val="auto"/>
                <w:sz w:val="24"/>
                <w:szCs w:val="24"/>
                <w:highlight w:val="none"/>
                <w:lang w:eastAsia="zh-CN"/>
              </w:rPr>
              <w:t>、制造业创新成果产业化</w:t>
            </w:r>
            <w:r>
              <w:rPr>
                <w:rFonts w:hint="eastAsia" w:ascii="Times New Roman" w:hAnsi="Times New Roman" w:eastAsia="仿宋_GB2312"/>
                <w:color w:val="auto"/>
                <w:sz w:val="24"/>
                <w:szCs w:val="24"/>
                <w:highlight w:val="no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具有开展国际交流合作的良好条件和合作经历。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1958"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五</w:t>
            </w:r>
            <w:r>
              <w:rPr>
                <w:rFonts w:hint="eastAsia" w:ascii="Times New Roman" w:hAnsi="Times New Roman" w:eastAsia="仿宋_GB2312"/>
                <w:color w:val="auto"/>
                <w:sz w:val="24"/>
                <w:szCs w:val="24"/>
                <w:highlight w:val="none"/>
              </w:rPr>
              <w:t>）拥有高水平的专业人员队伍。</w:t>
            </w: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拥有高水平的技术带头人。</w:t>
            </w: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拥有高水平的学术带头人。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从事相关服务的人数不少于</w:t>
            </w:r>
            <w:r>
              <w:rPr>
                <w:rFonts w:hint="eastAsia"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rPr>
              <w:t>0人。</w:t>
            </w: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从事相关服务的人数不少于</w:t>
            </w:r>
            <w:r>
              <w:rPr>
                <w:rFonts w:hint="eastAsia"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8"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从事基础理论研究、应用技术研究、标准和方法研究、关键技术攻关等科研活动的专业人员中，硕士或中级职称及以上人员比例不低于60%。</w:t>
            </w:r>
          </w:p>
        </w:tc>
        <w:tc>
          <w:tcPr>
            <w:tcW w:w="3971"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专业服务人员队伍硕士或中级职称以上专业人员的比例不低于60%。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专业服务人员中，大专及以上学历人员的比例不低于80%。</w:t>
            </w:r>
          </w:p>
        </w:tc>
        <w:tc>
          <w:tcPr>
            <w:tcW w:w="3971" w:type="dxa"/>
            <w:vMerge w:val="continue"/>
            <w:vAlign w:val="center"/>
          </w:tcPr>
          <w:p>
            <w:pPr>
              <w:spacing w:line="320" w:lineRule="exact"/>
              <w:rPr>
                <w:rFonts w:hint="eastAsia"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拥有一定比例的持有政府颁发计量检定员证的人员和具备上岗资格的试验检测人员。</w:t>
            </w: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具有一定比例的持有从业资格证书的专业人员。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六</w:t>
            </w:r>
            <w:r>
              <w:rPr>
                <w:rFonts w:hint="eastAsia" w:ascii="Times New Roman" w:hAnsi="Times New Roman" w:eastAsia="仿宋_GB2312"/>
                <w:color w:val="auto"/>
                <w:sz w:val="24"/>
                <w:szCs w:val="24"/>
                <w:highlight w:val="none"/>
              </w:rPr>
              <w:t>）具备提供试验验证、信息服务所必需的基础设施。</w:t>
            </w: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拥有自有固定的试验验证、计量检测场地和经营服务场所。</w:t>
            </w:r>
          </w:p>
        </w:tc>
        <w:tc>
          <w:tcPr>
            <w:tcW w:w="3971"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拥有自有固定的经营服务场所。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拥有温湿度控制实验室。</w:t>
            </w:r>
          </w:p>
        </w:tc>
        <w:tc>
          <w:tcPr>
            <w:tcW w:w="3971" w:type="dxa"/>
            <w:vMerge w:val="continue"/>
            <w:vAlign w:val="center"/>
          </w:tcPr>
          <w:p>
            <w:pPr>
              <w:spacing w:line="320" w:lineRule="exact"/>
              <w:rPr>
                <w:rFonts w:hint="eastAsia"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配备符合试验验证、计量检测所要求的抽样、测量、试验和分析设备（含软件）、计量标准器具。</w:t>
            </w: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具有多源信息采集系统。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具有较大规模的专业数据资源。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具有数据处理与整合工具。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30"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71"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具有数据分析与应用工具。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jc w:val="center"/>
        </w:trPr>
        <w:tc>
          <w:tcPr>
            <w:tcW w:w="1958"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七</w:t>
            </w:r>
            <w:r>
              <w:rPr>
                <w:rFonts w:hint="eastAsia" w:ascii="Times New Roman" w:hAnsi="Times New Roman" w:eastAsia="仿宋_GB2312"/>
                <w:color w:val="auto"/>
                <w:sz w:val="24"/>
                <w:szCs w:val="24"/>
                <w:highlight w:val="none"/>
              </w:rPr>
              <w:t>）具有领先的科研能力和服务能力。</w:t>
            </w: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检测和校准项目已通过实验室资质认定（CMA）或中国合格评定国家认可委员会（CNAS）认可。</w:t>
            </w:r>
          </w:p>
        </w:tc>
        <w:tc>
          <w:tcPr>
            <w:tcW w:w="3971"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近5年承担过具有影响力的</w:t>
            </w:r>
            <w:r>
              <w:rPr>
                <w:rFonts w:hint="eastAsia" w:ascii="Times New Roman" w:hAnsi="Times New Roman" w:eastAsia="仿宋_GB2312"/>
                <w:color w:val="auto"/>
                <w:sz w:val="24"/>
                <w:szCs w:val="24"/>
                <w:highlight w:val="none"/>
                <w:lang w:eastAsia="zh-CN"/>
              </w:rPr>
              <w:t>国家、</w:t>
            </w:r>
            <w:r>
              <w:rPr>
                <w:rFonts w:hint="eastAsia" w:ascii="Times New Roman" w:hAnsi="Times New Roman" w:eastAsia="仿宋_GB2312"/>
                <w:color w:val="auto"/>
                <w:sz w:val="24"/>
                <w:szCs w:val="24"/>
                <w:highlight w:val="none"/>
              </w:rPr>
              <w:t>省</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部级科研项目及工作任务。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58" w:type="dxa"/>
            <w:vMerge w:val="continue"/>
            <w:vAlign w:val="top"/>
          </w:tcPr>
          <w:p>
            <w:pPr>
              <w:spacing w:line="320" w:lineRule="exact"/>
              <w:rPr>
                <w:rFonts w:hint="eastAsia" w:ascii="Times New Roman" w:hAnsi="Times New Roman" w:eastAsia="仿宋_GB2312"/>
                <w:color w:val="auto"/>
                <w:sz w:val="24"/>
                <w:szCs w:val="24"/>
                <w:highlight w:val="none"/>
              </w:rPr>
            </w:pP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近5年承担过</w:t>
            </w:r>
            <w:r>
              <w:rPr>
                <w:rFonts w:hint="eastAsia" w:ascii="Times New Roman" w:hAnsi="Times New Roman" w:eastAsia="仿宋_GB2312"/>
                <w:color w:val="auto"/>
                <w:sz w:val="24"/>
                <w:szCs w:val="24"/>
                <w:highlight w:val="none"/>
                <w:lang w:eastAsia="zh-CN"/>
              </w:rPr>
              <w:t>国家、</w:t>
            </w:r>
            <w:r>
              <w:rPr>
                <w:rFonts w:hint="eastAsia" w:ascii="Times New Roman" w:hAnsi="Times New Roman" w:eastAsia="仿宋_GB2312"/>
                <w:color w:val="auto"/>
                <w:sz w:val="24"/>
                <w:szCs w:val="24"/>
                <w:highlight w:val="none"/>
              </w:rPr>
              <w:t>省</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部级科研项目。</w:t>
            </w:r>
          </w:p>
        </w:tc>
        <w:tc>
          <w:tcPr>
            <w:tcW w:w="3971" w:type="dxa"/>
            <w:vMerge w:val="continue"/>
            <w:vAlign w:val="center"/>
          </w:tcPr>
          <w:p>
            <w:pPr>
              <w:spacing w:line="320" w:lineRule="exact"/>
              <w:rPr>
                <w:rFonts w:hint="eastAsia"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958" w:type="dxa"/>
            <w:vMerge w:val="continue"/>
            <w:vAlign w:val="top"/>
          </w:tcPr>
          <w:p>
            <w:pPr>
              <w:spacing w:line="320" w:lineRule="exact"/>
              <w:rPr>
                <w:rFonts w:hint="eastAsia" w:ascii="Times New Roman" w:hAnsi="Times New Roman" w:eastAsia="仿宋_GB2312"/>
                <w:color w:val="auto"/>
                <w:sz w:val="24"/>
                <w:szCs w:val="24"/>
                <w:highlight w:val="none"/>
              </w:rPr>
            </w:pPr>
          </w:p>
        </w:tc>
        <w:tc>
          <w:tcPr>
            <w:tcW w:w="3930"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近5年承担过国家、行业标准制修订项目。</w:t>
            </w:r>
          </w:p>
        </w:tc>
        <w:tc>
          <w:tcPr>
            <w:tcW w:w="3971" w:type="dxa"/>
            <w:vMerge w:val="continue"/>
            <w:vAlign w:val="center"/>
          </w:tcPr>
          <w:p>
            <w:pPr>
              <w:spacing w:line="320" w:lineRule="exact"/>
              <w:rPr>
                <w:rFonts w:hint="eastAsia"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958" w:type="dxa"/>
            <w:vMerge w:val="continue"/>
            <w:vAlign w:val="top"/>
          </w:tcPr>
          <w:p>
            <w:pPr>
              <w:spacing w:line="320" w:lineRule="exact"/>
              <w:rPr>
                <w:rFonts w:hint="eastAsia" w:ascii="Times New Roman" w:hAnsi="Times New Roman" w:eastAsia="仿宋_GB2312"/>
                <w:color w:val="auto"/>
                <w:sz w:val="24"/>
                <w:szCs w:val="24"/>
                <w:highlight w:val="none"/>
              </w:rPr>
            </w:pPr>
          </w:p>
        </w:tc>
        <w:tc>
          <w:tcPr>
            <w:tcW w:w="3930" w:type="dxa"/>
            <w:vMerge w:val="continue"/>
            <w:vAlign w:val="center"/>
          </w:tcPr>
          <w:p>
            <w:pPr>
              <w:spacing w:line="320" w:lineRule="exact"/>
              <w:rPr>
                <w:rFonts w:hint="eastAsia" w:ascii="Times New Roman" w:hAnsi="Times New Roman" w:eastAsia="仿宋_GB2312"/>
                <w:color w:val="auto"/>
                <w:sz w:val="24"/>
                <w:szCs w:val="24"/>
                <w:highlight w:val="none"/>
              </w:rPr>
            </w:pPr>
          </w:p>
        </w:tc>
        <w:tc>
          <w:tcPr>
            <w:tcW w:w="3971" w:type="dxa"/>
            <w:vMerge w:val="restart"/>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近5年发布过</w:t>
            </w:r>
            <w:r>
              <w:rPr>
                <w:rFonts w:hint="eastAsia" w:ascii="Times New Roman" w:hAnsi="Times New Roman" w:eastAsia="仿宋_GB2312"/>
                <w:color w:val="auto"/>
                <w:sz w:val="24"/>
                <w:szCs w:val="24"/>
                <w:highlight w:val="none"/>
                <w:lang w:eastAsia="zh-CN"/>
              </w:rPr>
              <w:t>行业（</w:t>
            </w:r>
            <w:r>
              <w:rPr>
                <w:rFonts w:hint="default" w:ascii="Times New Roman" w:hAnsi="Times New Roman" w:eastAsia="仿宋_GB2312"/>
                <w:color w:val="auto"/>
                <w:sz w:val="24"/>
                <w:szCs w:val="24"/>
                <w:highlight w:val="none"/>
              </w:rPr>
              <w:t>产业</w:t>
            </w:r>
            <w:r>
              <w:rPr>
                <w:rFonts w:hint="eastAsia" w:ascii="Times New Roman" w:hAnsi="Times New Roman" w:eastAsia="仿宋_GB2312"/>
                <w:color w:val="auto"/>
                <w:sz w:val="24"/>
                <w:szCs w:val="24"/>
                <w:highlight w:val="none"/>
                <w:lang w:eastAsia="zh-CN"/>
              </w:rPr>
              <w:t>）相关研究</w:t>
            </w:r>
            <w:r>
              <w:rPr>
                <w:rFonts w:hint="eastAsia" w:ascii="Times New Roman" w:hAnsi="Times New Roman" w:eastAsia="仿宋_GB2312"/>
                <w:color w:val="auto"/>
                <w:sz w:val="24"/>
                <w:szCs w:val="24"/>
                <w:highlight w:val="none"/>
              </w:rPr>
              <w:t>报告</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行业</w:t>
            </w:r>
            <w:r>
              <w:rPr>
                <w:rFonts w:hint="eastAsia"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产业</w:t>
            </w:r>
            <w:r>
              <w:rPr>
                <w:rFonts w:hint="eastAsia" w:ascii="Times New Roman" w:hAnsi="Times New Roman" w:eastAsia="仿宋_GB2312"/>
                <w:color w:val="auto"/>
                <w:sz w:val="24"/>
                <w:szCs w:val="24"/>
                <w:highlight w:val="none"/>
                <w:lang w:eastAsia="zh-CN"/>
              </w:rPr>
              <w:t>）重点领域</w:t>
            </w:r>
            <w:r>
              <w:rPr>
                <w:rFonts w:hint="eastAsia" w:ascii="Times New Roman" w:hAnsi="Times New Roman" w:eastAsia="仿宋_GB2312"/>
                <w:color w:val="auto"/>
                <w:sz w:val="24"/>
                <w:szCs w:val="24"/>
                <w:highlight w:val="none"/>
              </w:rPr>
              <w:t>知识产权</w:t>
            </w:r>
            <w:r>
              <w:rPr>
                <w:rFonts w:hint="eastAsia" w:ascii="Times New Roman" w:hAnsi="Times New Roman" w:eastAsia="仿宋_GB2312"/>
                <w:color w:val="auto"/>
                <w:sz w:val="24"/>
                <w:szCs w:val="24"/>
                <w:highlight w:val="none"/>
                <w:lang w:eastAsia="zh-CN"/>
              </w:rPr>
              <w:t>研究</w:t>
            </w:r>
            <w:r>
              <w:rPr>
                <w:rFonts w:hint="eastAsia" w:ascii="Times New Roman" w:hAnsi="Times New Roman" w:eastAsia="仿宋_GB2312"/>
                <w:color w:val="auto"/>
                <w:sz w:val="24"/>
                <w:szCs w:val="24"/>
                <w:highlight w:val="none"/>
              </w:rPr>
              <w:t>报告</w:t>
            </w:r>
            <w:r>
              <w:rPr>
                <w:rFonts w:hint="eastAsia" w:ascii="Times New Roman" w:hAnsi="Times New Roman" w:eastAsia="仿宋_GB2312"/>
                <w:color w:val="auto"/>
                <w:sz w:val="24"/>
                <w:szCs w:val="24"/>
                <w:highlight w:val="none"/>
                <w:lang w:eastAsia="zh-CN"/>
              </w:rPr>
              <w:t>、创新成果产业化报告</w:t>
            </w:r>
            <w:r>
              <w:rPr>
                <w:rFonts w:hint="eastAsia" w:ascii="Times New Roman" w:hAnsi="Times New Roman" w:eastAsia="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jc w:val="center"/>
        </w:trPr>
        <w:tc>
          <w:tcPr>
            <w:tcW w:w="1958" w:type="dxa"/>
            <w:vMerge w:val="continue"/>
            <w:vAlign w:val="top"/>
          </w:tcPr>
          <w:p>
            <w:pPr>
              <w:spacing w:line="320" w:lineRule="exact"/>
              <w:rPr>
                <w:rFonts w:hint="eastAsia" w:ascii="Times New Roman" w:hAnsi="Times New Roman" w:eastAsia="仿宋_GB2312"/>
                <w:color w:val="auto"/>
                <w:sz w:val="24"/>
                <w:szCs w:val="24"/>
                <w:highlight w:val="none"/>
              </w:rPr>
            </w:pP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近5年有已申请和获得授权的国内外专利、集成电路布图设计专有权以及软件著作权等。</w:t>
            </w:r>
          </w:p>
        </w:tc>
        <w:tc>
          <w:tcPr>
            <w:tcW w:w="3971" w:type="dxa"/>
            <w:vMerge w:val="continue"/>
            <w:vAlign w:val="top"/>
          </w:tcPr>
          <w:p>
            <w:pPr>
              <w:spacing w:line="320" w:lineRule="exact"/>
              <w:rPr>
                <w:rFonts w:hint="eastAsia" w:ascii="Times New Roman" w:hAnsi="Times New Roman"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1958" w:type="dxa"/>
            <w:vMerge w:val="continue"/>
            <w:vAlign w:val="top"/>
          </w:tcPr>
          <w:p>
            <w:pPr>
              <w:spacing w:line="320" w:lineRule="exact"/>
              <w:rPr>
                <w:rFonts w:hint="eastAsia" w:ascii="Times New Roman" w:hAnsi="Times New Roman" w:eastAsia="仿宋_GB2312"/>
                <w:color w:val="auto"/>
                <w:sz w:val="24"/>
                <w:szCs w:val="24"/>
                <w:highlight w:val="none"/>
              </w:rPr>
            </w:pPr>
          </w:p>
        </w:tc>
        <w:tc>
          <w:tcPr>
            <w:tcW w:w="3930" w:type="dxa"/>
            <w:vAlign w:val="center"/>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近5年为一定数量的企业提供试验验证等相关服务。</w:t>
            </w:r>
          </w:p>
        </w:tc>
        <w:tc>
          <w:tcPr>
            <w:tcW w:w="3971" w:type="dxa"/>
            <w:vAlign w:val="top"/>
          </w:tcPr>
          <w:p>
            <w:pPr>
              <w:spacing w:line="320" w:lineRule="exac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近5年承担过具有影响力的专利交易、质押等相关知识产权运用案件。</w:t>
            </w:r>
          </w:p>
        </w:tc>
      </w:tr>
    </w:tbl>
    <w:p>
      <w:pPr>
        <w:pStyle w:val="2"/>
        <w:tabs>
          <w:tab w:val="left" w:pos="7600"/>
        </w:tabs>
        <w:spacing w:line="720" w:lineRule="exact"/>
        <w:jc w:val="both"/>
        <w:rPr>
          <w:rFonts w:hint="eastAsia"/>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021CA"/>
    <w:rsid w:val="20284911"/>
    <w:rsid w:val="25F72342"/>
    <w:rsid w:val="60F717AA"/>
    <w:rsid w:val="63DE41B2"/>
    <w:rsid w:val="661E4582"/>
    <w:rsid w:val="71E730CF"/>
    <w:rsid w:val="795021CA"/>
    <w:rsid w:val="7EB1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2021-08-18T07:38:00Z</dcterms:created>
  <dc:creator>hp</dc:creator>
  <cp:lastModifiedBy>hp</cp:lastModifiedBy>
  <dcterms:modified xsi:type="dcterms:W3CDTF">2022-09-16T07:36:34Z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